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The same lexical normalizer maps irregular participles to base predicate names, so John was seen by Mary exports see(mary, john), and the letter was written exports exists x_agent : Entity. write(x_agent, letter).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passive omission case checks that an explicit by-phrase becomes an ordinary Entity agent, that an omitted by-phrase becomes an existential Entity agent, that the auxiliary is licensed, that irregular participles are lemmatized before Coq export,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