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The same lexical normalizer maps irregular participles to base predicate names, so John was seen by Mary exports see(mary, john), and the letter was written exports exists x_agent : Entity. write(x_agent, letter).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generated Coq scaffold contains no Event, Agent, or Theme declarations, and that the universal-burning sentence is not intercepted by the broader passive recognizer.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stative result-state analysis whose scale does not match the lexicon, a passive analysis whose agent source is neither by_phrase nor omitted_existential, a passive analysis whose auxiliary is not licensed,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and non-fatal result-state warnings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