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some boy loved some girl in the bathroom gives both scope readings a modifiers list containing in_bathroom : Adv, changes love to the dependent family type forall n : nat, ModifierSeq n -&gt; Entity -&gt; Entity -&gt; PropT, and renders the modified relation as love(1)(in(bathroom), x_boy, x_girl). Thus temporal operators and Adv modifiers scope over or into an already disambiguated proposition without introducing a Davidsonian event argument.</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