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temporal modifiers scope over the conjunction, that object coordination such as Mary visited Paris and London is not captured by the rule, and that a malformed predicate type is rejected before Coq export.</w:t>
      </w:r>
    </w:p>
    <w:p>
      <w:r>
        <w:t>The fallback lemmatization tests now also cover ordinary past-tense and irregular motion examples such as chased -&gt; chase, passed -&gt; pass, flew -&gt; fly, ran -&gt; run, and slept -&gt; sleep,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becomes at_T(yesterday, and_T(walk(john), talk(john))). The AST records the shared subject, the two surface predicates, their lemmatized names, the connective and_T, and any time modifiers; the checker rejects a malformed predicate whose type is not Entity -&gt; Prop.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