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and source policy without requiring the reader to inspect the raw AST.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