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and atomic_truth_facts is a concrete record assembled from those constructors rather than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This atomic-closure layer leaves lexical predicate applications and Transition as atom-level constructors, while Sigma, repetition, temporal operators, negation, and Cause are closed by checked constructors. These instance-level proofs show record inhabitation, structural denotation, concrete-kernel wiring, model-interpretable, syntax-directed, primitive-assumption, atomic-base-valuation, atomic-closure kernel, and atomic-closure truth-condition-spec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atomic-base-valuation, atomic-closure kernel, and atomic-closure truth-condition-spec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atomic-base-truth valuation instance, and a Coq atomic-closure truth-condition-spec instance,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atomic-base-valuation drift, atomic-closure-truth-condition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coq_atomic_base_truth_valuation_instance, and coq_atomic_closure_truth_condition_spec_instance. This adds model-interpretable-kernel-instance, syntax-directed-kernel-instance, primitive-truth-assumption-kernel, atomic-closure-kernel, atomic-base-valuation, and atomic-closure-truth-condition drift to the same project-completion guard: the page and verifier must continue to expose the explicit kernel instances, the induced truth-condition records, the inductive AtomicBaseTruth constructors, the concrete atomic_truth_facts instance, the named atomic_closure_truth_conditions spec, and the per-example model-interpretable, syntax-directed, primitive, atomic-closure truth-kernel, and atomic-closure truth-condition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coq_atomic_base_truth_valuation_instance, and coq_atomic_closure_truth_condition_spec_instance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atomic base-valuation constructors, and their named atomic-closure TruthConditionSpec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