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and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This avoids both a hidden Event type and an event-inclusion predicate such as IN(e,e'). These two tests sharpen the project criterion: a successful replacement must assign the right lexical and constructional types, not merely produce a Coq file that compiles.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three Parsons/Luo-Shi replacements reject generated Coq that reintroduces a hidden Event declaration, and the burning rule also rejects IN. The registered-rule executor now stops before construction hygiene and Coq/Rocq validation if the construction-specific AST type check has already failed, marking the downstream stages as skipped.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event counting, causal resultatives, object-final result phrases such as hammered the metal flat and painted the door red, quantifier-scope ambiguity, typed modifiers, fallback simple sentences, and the three Parsons/Luo-Shi cases above. The quantifier-scope case is now represented internally by structured readings: each reading records a scope order, bound variables, Entity -&gt; Prop restrictor predicates, and an Entity -&gt; Entity -&gt; Prop relation before any readable or Coq formula is rendered. The timed-after case checks the temporal binders and the direction of before, the perception-complement case rejects an ill-typed nominalizer before proof-assistant export, and the universal-burning case checks that the antecedent and consequent predicates share the same bound time variable. The negative cases reject an application whose adverb count does not match its modifier vector, an application whose role_frame values, role labels, or role types do not match its ordered arguments and generated function signature,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timed-after relation whose time order is reversed, a perception complement whose E does not have type Prop -&gt; Entity, a universal timed implication whose consequent uses an unbound time variable, a registered construction whose internal type check fails before Coq is attempted,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and non-fatal result-state warnings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a --require-docx gate, and the continuous-integration workflow installs the document extra before running it, so Word-generation tests cannot be accidentally mistaken for completed checks when python-docx is absent.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response contains a compact diagnostics object with a human-readable summary, a machine-readable failure_stage field, a recovery_hint, structured recovery_actions, and non-fatal warnings. Successful analyses expose no recovery action; failures distinguish input, parsing, type_check,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web page renders the same actions in a Next Steps panel, with stable data-action-kind attributes and next-step--kind CSS classes so browser tests or later interface buttons can target the suggested repair without parsing prose. It also renders the result_state_lexicon field in a dedicated Result State Lexicon panel, so resultative analyses display the target state, scale, source state, and source policy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A command-line exporter and a dedicated web endpoint emit the same queue as a lexicon_patch_drafts.v1 JSON bundle for offline review or later interface download, and both can validate a reviewer-supplied source state before any lexicon mutation is attempted.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This detail is small but methodologically useful: the implementation does not merely announce that a translation failed, but records which layer failed, which successful translations remain semantically underspecified, and what kind of repair would be appropriate. For an automatic semantic translator, such stage-local diagnostics are part of the scientific artifact, because they separate weaknesses of the current parser from failures of the dependent-type replacement itself.</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