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The construction is deliberately lower priority than the typed state and passive analyses: the door is red remains holds_state(door, color_scale, red), because red is a registered State, and the toast is buttered remains an omitted-agent passive. This prevents the fallback layer from erasing distinctions among State, Property, and passive participial predication while still giving common non-state adjectives a checked dependent-type target.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