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instance. It separates the exported atom basis as ConcreteRegisteredAtomicTruth and ConcreteRegisteredTruthBasis, closes the basis under Sigma, repetition, temporal, negation, and Cause constructors as ConcreteRegisteredTruth, instantiates concrete_registered_truth_conditions as a FullyRegisteredTruthConditionSpec, and checks example_i_concrete_registered_truth, example_i_concrete_registered_truth_condition_sound, and example_i_concrete_registered_truth_condition_atomic_sound for every exported example.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truth-condition instance,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concrete-registered-truth-condition drift, concrete-registered-example-package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coq_concrete_registered_example_truth_instance_package,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concrete-registered-truth-condition, concrete-registered-example-package,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concrete_registered_truth_conditions spec, the ConcreteRegisteredExampleTruthInstances package, the RegisteredExampleTruthInstances package, and the per-example model-interpretable, syntax-directed, primitive, atomic-closure truth-kernel, atomic-closure truth-condition, transition-refined atomic-closure, registered truth-condition, fully registered truth-condition, concrete registered truth-condition,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truth-condition instance,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