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that object coordination such as Mary visited Paris and London is not captured by the rule, and that malformed predicate or modifier types are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and John ate bread and drank water quickly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as object coordination rather than treating London as the object of an unexpressed second verb.</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