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three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ConcreteRegisteredTruthKernel, a registered evidence-gated kernel whose lexical clauses require RegisteredLexicalApplicationTruth and whose transition clauses require RegisteredStateTransitionTruth. The generated files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truth-condition-model bridge, a Coq concrete registered truth-condition instance,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concrete-registered-truth-condition-model drift, concrete-registered-truth-condition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coq_concrete_registered_truth_condition_model_bridge, coq_concrete_registered_truth_condition_instance, coq_concrete_registered_truth_kernel_instance, coq_concrete_registered_kernel_example_truth_instance_package, coq_concrete_registered_example_truth_instance_package, and coq_registered_example_truth_instance_package. This adds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concrete-registered-truth-condition-model, concrete-registered-truth-condition, concrete-registered-truth-kernel, concrete-registered-kernel-example-package, concrete-registered-example-package, and registered-example-package drift to the same project-completion guard: the page and verifier must continue to expose the explicit kernel instances,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ConcreteRegisteredTruthConditionModel bridge, the concrete_registered_truth_conditions spec, the ConcreteRegisteredTruthKernel evidence, the concrete_registered_truth_conditions_from_kernel spec, the ConcreteRegisteredKernelExampleTruthInstances package, the ConcreteRegisteredExampleTruthInstances package, the RegisteredExampleTruthInstances package, and the per-example model-interpretable, syntax-directed, primitive, atomic-closure truth-kernel, atomic-closure truth-condition, transition-refined atomic-closure, registered truth-condition, fully registered truth-condition, concrete registered atomic-model, concrete registered truth-condition-model, concrete registered truth-condition,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coq_concrete_registered_truth_condition_model_bridge, coq_concrete_registered_truth_condition_instance,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truth-condition model bridge, their concrete registered truth-condition instance,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