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and type-check result. Unit tests execute the coverage cases against the current analyzer, and the smoke check compares the API manifest with stable HTML data attributes in the Certified Fragment panel while also running the live analyzer against every semantic snapshot. This is again not a new semantic replacement rule, but it turns an important methodological boundary into a testable artifact: the prototype can advertise the fragment it currently certifies and detect semantic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