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passive by-phrase and omitted-agent analyses across passive auxiliaries,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passive omission case checks that an explicit by-phrase becomes an ordinary Entity agent, that an omitted by-phrase becomes an existential Entity agent, that the auxiliary is licensed,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