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promotes a simple locative-intransitive case out of ordinary fallback: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John ate, for example, remains a shallow argument-omission scaffold with a Sigma witness and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John ate, where the verifier checks fallback_single_reading, fallback_event_semantics, the construction-rule draft, and the rendered reading_explanation interpretation. This makes promoted event-counting,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