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an explicit frame field, and the checker uses both the frame and the registration as negative guards, rejecting internally malformed analyses whose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The same lexical normalizer maps irregular participles to base predicate names, so John was seen by Mary exports see(mary, john), and the letter was written exports exists x_agent : Entity. write(x_agent, letter).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generated Coq scaffold contains no Event, Agent, or Theme declarations, and that the universal-burning sentence is not intercepted by the broader passive recognizer.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