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next-step--kind CSS classes, and compact target-detail tables so browser tests or later interface buttons can target the suggested repair without parsing prose.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and recovery action kinds. The fixture case inventory, labels, expected failure stages, and expected recovery-action kinds are derived from one DIAGNOSTIC_FIXTURE_SPECS table before the manifest and selector are built. The selector is rendered from that manifest and carries the manifest schema, manifest API path, and per-option failure-stage and recovery-action metadata, so the visible labels, controls, and JSON inventory cannot silently drift apart; the project-level web smoke check now requests the JSON manifest and then walks every advertised case, comparing each API payload, selected HTML option, API/HTML route case parameter, failure stage, recovery-action metadata, each semantic_readings_repair_details schema, and each recovery action schema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and stale Next Steps action hooks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