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laughed loudly in the park near a window beside a shelf under a lamp yesterday, for example, remains a shallow five-modifier scaffold at_T(yesterday, laugh(5)(loudly, in(park), near(window), beside(shelf), under(lamp),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This gives the prototype registered counterparts to plain, manner-modified, one Manner+Location, one Manner+two-Location, and one Manner+three-Location intransitive predication, while locative material such as on a mat remains represented as an Adv modifier rather than as an Entity constant. The remaining fallback boundary is therefore deliberately narrower: Mary laughed loudly in the park near a window beside a shelf under a lamp yesterday is only a shallow five-modifier scaffold, at_T(yesterday, laugh(5)(loudly, in(park), near(window), beside(shelf), under(lamp), mary)), until a reviewed construction rule decides how longer modifier sequences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laughed loudly in the park near a window beside a shelf under a lamp yesterday, where the verifier checks fallback_single_reading, fallback_event_semantics, the construction-rule draft, the shallow five-modifier scaffold at_T(yesterday, laugh(5)(loudly, in(park), near(window), beside(shelf), under(lamp),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