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The construction is deliberately lower priority than the typed state and passive analyses: the door is red remains holds_state(door, color_scale, red), because red is a registered State; the door is not red becomes not_T(holds_state(door, color_scale, red)) rather than not_red : Property; and the toast is buttered remains an omitted-agent passive. This prevents the fallback layer from erasing distinctions among State, Property, Degree, and passive participial predication while still giving common non-state adjectives a checked dependent-type target.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