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admits a finite stacked-relative slice for consecutive simple intransitive restrictors: some boy who laughed who smiled loved a girl renders boy(x_boy) and laugh(x_boy) and smile(x_boy), while some boy loved a girl that smiled that laughed renders girl(x_girl) and smile(x_girl) and laugh(x_girl). It also accepts explicit conjunctive coordination in that same finite slice: some boy who laughed and who smiled loved a girl and some boy loved a girl that smiled and that laughed receive the same conjunctive restrictor formulas. The same finite policy now covers single-marker coordination where the second marker is elided: some boy who laughed and smiled loved a girl and some boy loved a girl that smiled and laughed are rendered by the same pair of predicate-valued restrictors, with the inherited marker recorded in the AST rather than exported as an entity. Disjunctive or who/or that cases and single-marker or relatives remain outside the certified fragment instead of being collapsed into conjunction. The semantic readings mark these as subject_relative_stacked_restrictor or object_relative_stacked_restrictor rather than as ordinary entity constants.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Complex stacked relatives, disjunctive stacked relative clauses, and stacked relative-object PP material, such as a girl in the park with a telescope or Mary in the park with a telescope, remain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45 registered primary constructions and 95 registered variants, recomputes the dependent application modifier counts 0 through 12, and exposes 12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surface_parser_coverage for three finite audited Adv-sequence front-end families. The modified transitive family states the open-ended type principle forall n : nat, ModifierSeq n -&gt; Entity -&gt; Entity -&gt; PropT, lists smoke-tested timed and untimed modifier counts 1 through 5, and keeps the parser-level claim registered_examples_only with full_surface_parser_certification set to false. The manner/location intransitive family states the corresponding unary type principle forall n : nat, ModifierSeq n -&gt; Entity -&gt; PropT, lists timed and untimed modifier counts 1 through 6, and adds controlled subject, predicate, and modifier substitutions such as John slept quietly in the garden yesterday. The new mixed-role intransitive family keeps the same unary type principle while auditing Source, Goal, Instrument, Location, and Manner prefixes 1 through 7, including controlled probes such as John walked from a doorway into a hallway with a telescope beside a shelf loudly under a lamp on a table yesterday. The combined parser-boundary audit now counts 36 surface witnesses, 11 slot probes, and 16 lexical matrix examples, for 63 finite surface witnesses in total. The HTML smoke check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Each surface family now carries a verified_examples witness list, recording the registered primary example and every registered variant by sentence, variant id, modifier count, temporal wrapping status, source, expected analysis label, expected AST kind, and dependent-type translation fragments. Each also carries a witness_generation_spec that records the base clause, ordered modifier prefix, optional time suffix, variant-id mapping, source mapping, and translation templates for its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The modified-transitive slot_probe_examples object reruns controlled Agent, Theme, predicate, and combined timed/max-prefix substitutions, for example replacing Mary by John, painting by sculpture, and admire by photograph, while explicitly leaving full_lexical_slot_certification false. The intransitive slot_probe_examples objects do the analogous controlled subject, predicate, manner, location, source, goal, and instrument probes without treating adverbs or prepositional phrases as objects.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modified-transitive object also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 six-, or seven-modifier trick, but the implemented natural-language front end is still certified only over an audited finite set of concrete surface examples with explicit semantic expectations.</w:t>
      </w:r>
    </w:p>
    <w:p>
      <w:r>
        <w:t>The certified-fragment manifest now additionally includes parser_semantic_boundary_audit.v1. This object records parser_claim as registered_examples_only and semantic_claim as registered_construction_rules_only, with both full_surface_parser_certification and full_natural_language_certification set to false. It counts the finite surface witnesses, slot probes, and lexical matrix examples separately from registered semantic rules, registered variants, semantic snapshots, fallback rows, and rejected unsupported fragments. Its four boundary rows distinguish the surface parser front end, registered semantic translation, fallback scaffold, and unsupported-fragment guard; only the parser and fallback rows block project completion. The Certified Fragment panel mirrors these rows through data-parser-semantic-boundary-* hooks, and the verifier recomputes the audit from the manifest before accepting the API response or page. This stage completes the earlier methodological requirement to separate parser coverage claims from semantic translation claims, so the remaining front-end next stage becomes extend_surface_parser_beyond_registered_examples rather than another warning about the same boundary split.</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r>
        <w:t>The same completion payload now exposes scope_attachment_discourse_audit.v1. This audit now registers sixteen additional variant witnesses: four quantifier-scope sentences, a boy loves a girl, every boy loves a girl, a boy loves every girl, and no boy loves a girl; two perception-complement temporal cases, Mary saw John leave yesterday and Mary saw John leave after Bill waved; two simple relative-clause restrictor cases, some boy who laughed loved a girl and some boy loved a girl that smiled; six finite stacked-relative cases, some boy who laughed who smiled loved a girl, some boy loved a girl that smiled that laughed, some boy who laughed and who smiled loved a girl, some boy loved a girl that smiled and that laughed, some boy who laughed and smiled loved a girl, and some boy loved a girl that smiled and laughed; and two relative-clause PP-attachment cases, some boy who saw a girl in the park loved a cat and some boy loved a girl that saw a cat in the park. The audit derives six finite categories from semantic snapshots and registered variants: quantifier scope, perception-complement nominalization, matrix/complement temporal attachment, typed modifier attachment, relative-clause restrictors, and local pronominal cause/reason dependencies. It records the claim finite_registered_witnesses_not_full_discourse_semantics and keeps full_scope_attachment_discourse_certification false. For the scope rows, the verifier reruns sample witnesses and checks reading names such as every_boy_wide_scope and no_boy_wide_scope; for the temporal perception row it checks attachment kinds such as complement_time_attachment and matrix_time_attachment; and for the relative-clause row it checks that subject and object restrictor sites are represented as predicate-valued relative_clause_restrictors in the AST rather than as Entity constants, while also requiring finite PP-attachment and stacked-restrictor alternatives such as subject_relative_object_np_restrictor, subject_relative_adv, subject_relative_stacked_restrictor, object_relative_object_np_restrictor, object_relative_adv, and object_relative_stacked_restrictor. The audit keeps explicit open boundaries for complex stacked, disjunctive, or reduced relative-clause attachment, arbitrary discourse anaphora, and pragmatic attachment disambiguation. This stage therefore expands the registered evidence for the user's central ambiguity concern without removing the open unregistered_scope_attachment_discourse objective.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