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some boy loved some girl in the bathroom gives both scope readings a modifiers list containing in_bathroom : Adv, changes love to the dependent family type forall n : nat, ModifierSeq n -&gt; Entity -&gt; Entity -&gt; PropT, and renders the modified relation as love(1)(in(bathroom), x_boy, x_girl). Fronted modifier variants such as In the bathroom some boy loved some girl and Yesterday in the bathroom some boy loved some girl use the same readings;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and Adv modifiers scope over or into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It exports no Event, Agent, or Theme declarations. Clause-level markers that the current implementation cannot analyze, such as who, which, that, whether, or an overextended conditional such as if John left, Mary cried loudly,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