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The same step adds a surface-lexicon gate for transitive coordination: both coordinated verbs must be licensed as transitive before the rule may consume object material, so walk in the park and talk quickly cannot be miscompiled as Entity-object applications. Left-branch-internal time modifiers remain outside the implemented fragment until their scope is licensed explicitly. Scope-ambiguous coordinated negation, such as John did not walk and talk, is likewise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