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Left-branch-only modifiers are now represented by branch-local ModifierSeq indices rather than by object-name concatenation: John did not walk in the park but talked becomes and_T(not_T(walk(1)(in(park), john)), talk(0)(john)), and John did not eat bread in the park but drank water becomes and_T(not_T(eat(1)(in(park), john, bread)), drink(0)(john, water)). Mixed local and right-branch modifiers remain outside the implemented fragment until their scope is licensed explicitly. Scope-ambiguous coordinated negation, such as John did not walk and talk, is likewise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