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Residual unregistered simple sentences still use a conservative fallback parser; Mary laughed loudly in the park with a telescope from a window with a camera yesterday remains a shallow Source/Instrument five-modifier scaffold at_T(yesterday, laugh(5)(loudly, in(park), with(telescope), from(window), with(camera),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The remaining fallback boundary is therefore narrower: Mary laughed loudly in the park with a telescope from a window with a camera yesterday is only a shallow Source/Instrument five-modifier scaffold, at_T(yesterday, laugh(5)(loudly, in(park), with(telescope), from(window), with(camera), mary)), until a reviewed construction rule decides how Source or Goal material should interact with Instrument modifiers for one-place predicates.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The remaining fallback success contract is now exercised with Mary laughed loudly in the park with a telescope from a window with a camera yesterday, where the verifier checks fallback_single_reading, fallback_event_semantics, the construction-rule draft, the shallow Source/Instrument five-modifier scaffold at_T(yesterday, laugh(5)(loudly, in(park), with(telescope), from(window), with(camera),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