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Residual unregistered simple sentences still use a conservative fallback parser; Mary laughed from a window with a camera beside a shelf loudly under a lamp on a table yesterday remains a shallow Source+Instrument+Location+Manner+Location+Location mixed modifier scaffold at_T(yesterday, laugh(6)(from(window), with(camera), beside(shelf), loudly, under(lamp), on(table),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The remaining fallback boundary is therefore narrower: Mary laughed from a window with a camera beside a shelf loudly under a lamp on a table yesterday is only a shallow Source+Instrument+Location+Manner+Location+Location mixed modifier scaffold, at_T(yesterday, laugh(6)(from(window), with(camera), beside(shelf), loudly, under(lamp), on(table), mary)), until a reviewed construction rule decides whether the extra Location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The remaining fallback success contract is now exercised with Mary laughed from a window with a camera beside a shelf loudly under a lamp on a table yesterday, where the verifier checks fallback_single_reading, fallback_event_semantics, the construction-rule draft, the shallow Source+Instrument+Location+Manner+Location+Location mixed modifier scaffold at_T(yesterday, laugh(6)(from(window), with(camera), beside(shelf), loudly, under(lamp), on(table),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