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Fronted modifier variants such as In the bathroom some boy loved some girl and Yesterday in the bathroom some boy loved some girl use the same readings;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Clause-level markers that the current implementation cannot analyze, such as who, which, that, whether, or an overextended conditional such as if John left, Mary cried loudly,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The rule still rejects overextended variants such as if John did not leave quickly, Mary cried, so ordinary manner modifiers are not silently reclassified as conditional-clause material.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of type </w:t>
      </w:r>
      <w:r>
        <w:rPr>
          <w:rFonts w:ascii="Courier New" w:hAnsi="Courier New"/>
        </w:rPr>
        <w:t>Prop -&gt; Prop -&gt; Prop</w:t>
      </w:r>
      <w:r>
        <w:t xml:space="preserve">;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and still rejects if John and Mary left quickly, Sue cried until ordinary manner modification inside conditional clauses receives its own typed rule.</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