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fronted-time layer now also recognizes a restricted set of prepositional time phrases. At noon Mary admired the painting becomes at_T(noon, admire(0)(mary, painting)); At noon yesterday Mary admired the painting becomes at_T(yesterday, at_T(noon, admire(0)(mary, painting))); In the morning John walked to school becomes during_T(morning, walk(1)(to(school), john)); and On Monday Mary visited Paris becomes at_T(monday, visit(0)(mary, paris)). The restriction to known temporal nouns is deliberate: the fallback parser should not reinterpret arbitrary fronted locative phrases as temporal operators.</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