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Residual unregistered simple sentences still use a conservative fallback parser; Mary laughed loudly in the park near a window beside a shelf yesterday, for example, remains a shallow four-modifier scaffold at_T(yesterday, laugh(4)(loudly, in(park), near(window), beside(shelf),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This gives the prototype registered counterparts to plain, manner-modified, one Manner+Location, and one Manner+two-Location intransitive predication, while locative material such as on a mat remains represented as an Adv modifier rather than as an Entity constant. The remaining fallback boundary is therefore deliberately narrower: Mary laughed loudly in the park near a window beside a shelf yesterday is only a shallow four-modifier scaffold, at_T(yesterday, laugh(4)(loudly, in(park), near(window), beside(shelf), mary)), until a reviewed construction rule decides how longer modifier sequences for one-place predicates should be certified.</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The remaining fallback success contract is now exercised with Mary laughed loudly in the park near a window beside a shelf yesterday, where the verifier checks fallback_single_reading, fallback_event_semantics, the construction-rule draft, the shallow four-modifier scaffold at_T(yesterday, laugh(4)(loudly, in(park), near(window), beside(shelf),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temporal_manner_two_location_intransitive_predication for Mary laughed loudly in the park near a window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