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This is a small implementation step,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causative and instrumental variants use typed constructors, and that the source and target states match the state lexicon.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