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discipline. The untimed sentence some boy loves some girl already yields two checked readings, subject-wide and object-wide, with boy and girl typed as Entity -&gt; Prop and love typed as Entity -&gt; Entity -&gt; Prop.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Thus the temporal operator scopes over an already disambiguated proposition without introducing a Davidsonian event argument.</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modifiers, typed modifiers, fallback simple sentences, and the three Parsons/Luo-Shi cases above. The quantifier-scope case is now represented internally by structured readings: each reading records a scope order, bound variables, Entity -&gt; Prop restrictor predicates, an Entity -&gt; Entity -&gt; Prop relation,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