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non-temporal prepositional material such as In the park remains a shared Adv modifier with a ModifierSeq-indexed predicate type,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verifies that a fronted location is a shared Adv modifier rather than a malformed subject. The negative test keeps Mary visited Paris and London outside the VP-coordination rule. A malformed object or modifier type is rejected because the predicate type no longer matches the object's declared type or the shared modifier is no longer Adv.</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Fronted non-temporal prepositional material is treated differently: In the park John walked and talked becomes and_T(walk(1)(in(park), john), talk(1)(in(park), john)), with in_park : Adv and walk, talk : forall n : nat, ModifierSeq n -&gt; Entity -&gt; PropT.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locations are shared Adv modifiers across both conjuncts: In the park John ate bread and drank water becomes and_T(eat(1)(in(park), john, bread), drink(1)(in(park), john, water)), while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