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model-interpretable, syntax-directed, primitive-assumption, lexical-transition-assumption-split, lexical-transition-model, atomic-valuation-spec, atomic-base-valuation, atomic-closure kernel, atomic-closure truth-condition-spec, transition-refined atomic-closure, registered truth-condition-spec, and registered lexical truth-condition-spec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and registered lexical truth-condition-spec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and a Coq registered lexical truth-condition-spec instance,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and coq_registered_lexical_truth_condition_spec_instance. This adds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and registered-lexical-truth-condition drift to the same project-completion guard: the page and verifier must continue to expose the explicit kernel instances,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and the per-example model-interpretable, syntax-directed, primitive, atomic-closure truth-kernel, atomic-closure truth-condition, transition-refined atomic-closure, registered truth-condition, and fully registered truth-condition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and coq_registered_lexical_truth_condition_spec_instance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and their registered lexical truth-condition-spec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