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and structured recovery_actions.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This detail is small but methodologically useful: the implementation does not merely announce that a translation failed, but records which layer failed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