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and keeps the predicate type fixed as Entity -&gt; Entity -&gt; Prop with Agent before Patient.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passive by-phrase and omitted-agent analyses,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passive omission case checks that an explicit by-phrase becomes an ordinary Entity agent, that an omitted by-phrase becomes an existential Entity agent, and that the generated Coq scaffold contains no Event, Agent, or Theme declarations.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passive analysis whose agent source is neither by_phrase nor omitted_existential,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