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These instance-level proofs show record inhabitation, structural denotation, concrete-kernel wiring, model-interpretable and syntax-directed kernel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both model-interpretable and syntax-directed kernel instances, without claiming that the kernel has already been inhabited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and a Coq syntax-directed truth-kernel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or project-completion drift within that fragment without implying that arbitrary natural language has already been solved.</w:t>
      </w:r>
    </w:p>
    <w:p>
      <w:r>
        <w:t>The current manifest evidence list also includes coq_model_interpretable_truth_kernel_instance and coq_syntax_directed_truth_kernel_instance. This adds model-interpretable-kernel-instance and syntax-directed-kernel-instance drift to the same project-completion guard: the page and verifier must continue to expose the explicit kernel instances, the induced truth-condition records, and the per-example model-interpretable and syntax-directed truth-kernel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and coq_syntax_directed_truth_kernel_instance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and their syntax-directed truth-kernel instance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