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Residual unregistered simple sentences still use a conservative fallback parser; Mary admired the painting red yesterday, for example, remains a shallow timed resultative scaffold at_T(yesterday, Cause(mary, Transition(painting, color_scale, _, red)))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checks the registered locative_intransitive_predication route, including locative_intransitive_predication_single_reading, the absence of a fallback draft, and the Coq/Rocq declaration on_mat : Adv rather than on_mat : Entity. The remaining fallback success contract is now exercised with Mary admired the painting red yesterday, where the verifier checks fallback_single_reading, fallback_event_semantics, the construction-rule draft, and the rendered reading_explanation interpretation. This makes promoted event-counting, promoted active argument omission, promoted plain transitive predication, promoted modified transitive predication, promoted locative modification,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