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Clause-level markers that the current implementation cannot analyze, such as who, which, that, whether,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Ordinary fallback successes now enter this same interface rather than being treated as a weaker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this ordinary /api/analyze path directly before it walks controlled diagnostic fixtures. It requests John knocked twice through the JSON endpoint and the matching HTML page, then checks that both surfaces expose fallback_single_reading, fallback_event_semantics, example_1, a none attachment summary, and the rendered reading_explanation interpretation. This makes the fallback success contract part of the live HTTP acceptance boundary rather than only a unit-level serializer expectation.</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fallback_success_cases, and rejected_unsupported_cases. The registered cases point back to the rule table's primary examples, the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and rejects content-type, byte-length, filename, or payload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