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These instance-level proofs show record inhabitation, structural denotation, concrete-kernel wiring,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and connected to an explicit concrete-kernel interface, without claiming that the kernel has already been inhabited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and a Coq concrete truth-condition-kernel bridge,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or project-completion drift within that fragment without implying that arbitrary natural language has already been solved.</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and coq_concrete_truth_condition_kernel_bridge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and their concrete-kernel bridge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