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and recovery action kinds. The fixture case inventory, labels, expected failure stages, and expected recovery-action kinds are derived from one DIAGNOSTIC_FIXTURE_SPECS table before the manifest and selector are built. The selector is rendered from that manifest and carries the manifest schema, manifest API path, and per-option failure-stage and recovery-action metadata, so the visible labels, controls, and JSON inventory cannot silently drift apart; the project-level web smoke check now requests the JSON manifest and then walks every advertised case, comparing each API payload, selected HTML option, API/HTML route case parameter, failure stage, recovery-action metadata, each semantic_readings_repair_details schema, each recovery action schema, the HTML action export link,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and stale action export links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and recovery_action_kinds, so clients can discover the controlled terms without scraping code or HTML. The verifier also rejects schema drift, failure-stage drift, required-fixture-stage drift, recovery-action drift, and stale selector links to that contract endpoint.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