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before registered construction rules and the fallback parser are allowed to generate Coq/Rocq code. Clause-level markers that the current implementation cannot analyze, such as if, who, which, that, and whether, are reported as parsing-stage failures rather than being collapsed into entity names. Thus if John left, Mary cried is not accepted as leave(if_john, mary_cried), and a relation-clause subject such as the tall boy who Mary saw yesterday quickly opened the old door with a key is not licensed as a single causer of an opening transition. This is a negative capability, but it is an important one: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