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and emits one named semantic_preservation_obligation for each exported example, for instance example_1_semantic_preservation_obligation. These obligations are not yet proofs of semantic preservation; they are explicit theorem targets that keep the next proof-development layer synchronized with the exported examples.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current scaffold also adds a first proof layer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they do not discharge the SemanticPreservation obligation itself. This distinction matters methodologically: the project can now verify that the proof obligations are synchronized and well typed without claiming that semantic preservation for the translator has already been proved.</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and web/API contracts, and incomplete_objectives for arbitrary natural-language semantics, deep Coq semantic proofs, unregistered scope/attachment/discourse ambiguity, and complete front-end lexical replacement. Completion blockers such as semantic_preservation_obligations_unproved and next recommended stages such as prove_named_semantic_preservation_obligations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or project-completion drift within that fragment without implying that arbitrary natural language has already been solved.</w:t>
      </w:r>
    </w:p>
    <w:p>
      <w:r>
        <w:t>The completion manifest now separately records coq_obligation_wellformedness_proofs as verified evidence. This field is deliberately narrower than deep_coq_semantic_proofs: it says the generated proof targets and their shallow Coq proofs are present and type checked, while semantic_preservation_obligations_unproved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