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still rejected before Coq export because it requires a separate scope policy.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while mixed Mary saw John leave and Sue smile or Ann laugh after Bill waved is rejected at the internal type-check stage. In both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