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Residual unregistered simple sentences still use a conservative fallback parser; Mary laughed from a window with a camera beside a shelf loudly under a lamp on a table with a microphone near a door with a telescope yesterday remains a shallow Source+Instrument+Location+Manner+Location+Location+Instrument+Location+Instrument mixed modifier scaffold at_T(yesterday, laugh(9)(from(window), with(camera), beside(shelf), loudly, under(lamp), on(table), with(microphone), near(door), with(telescope),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The remaining fallback boundary is therefore narrower: Mary laughed from a window with a camera beside a shelf loudly under a lamp on a table with a microphone near a door with a telescope yesterday is only a shallow Source+Instrument+Location+Manner+Location+Location+Instrument+Location+Instrument mixed modifier scaffold, at_T(yesterday, laugh(9)(from(window), with(camera), beside(shelf), loudly, under(lamp), on(table), with(microphone), near(door), with(telescope), mary)), until a reviewed construction rule decides whether a final Instrument after that Location-tail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The remaining fallback success contract is now exercised with Mary laughed from a window with a camera beside a shelf loudly under a lamp on a table with a microphone near a door with a telescope yesterday, where the verifier checks fallback_single_reading, fallback_event_semantics, the construction-rule draft, the shallow Source+Instrument+Location+Manner+Location+Location+Instrument+Location+Instrument mixed modifier scaffold at_T(yesterday, laugh(9)(from(window), with(camera), beside(shelf), loudly, under(lamp), on(table), with(microphone), near(door), with(telescope),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