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fallback_success_cases, and rejected_unsupported_cases. The registered cases point back to the rule table's primary examples, the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