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and per-option failure-stage and recovery-action metadata, so the visible labels, controls,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classified failure kinds, repair details, and any semantic-reading error list before exposing the raw JSON.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and recovery_action_kinds, so clients can discover the controlled terms without scraping code or HTML. The verifier also rejects schema drift, failure-stage drift, required-fixture-stage drift, recovery-action drift, and stale selector links to that contract endpoint.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Each dedicated recovery-action export now also carries a diagnostic_repair_plan.v1 object. This plan records whether the suggested repair can be applied automatically, which response fields are targeted, the ordered repair steps, a review-only patch preview when one can be generated, and the verification command that should be rerun after repair. The project verifier reconstructs this plan from the recovery action and rejects repair-plan drift, so the JSON export is no longer only a readable action object but a small, auditable repair bundle.</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