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맑은 고딕" w:cs="맑은 고딕" w:eastAsia="맑은 고딕" w:hAnsi="맑은 고딕"/>
          <w:b/>
          <w:bCs/>
          <w:color w:val="1F3864"/>
          <w:sz w:val="40"/>
          <w:szCs w:val="40"/>
        </w:rPr>
        <w:t xml:space="preserve">손해배상 청구 전략서</w:t>
      </w:r>
    </w:p>
    <w:p>
      <w:pPr>
        <w:spacing w:after="80"/>
        <w:jc w:val="center"/>
      </w:pPr>
      <w:r>
        <w:rPr>
          <w:rFonts w:ascii="맑은 고딕" w:cs="맑은 고딕" w:eastAsia="맑은 고딕" w:hAnsi="맑은 고딕"/>
          <w:color w:val="666666"/>
          <w:sz w:val="24"/>
          <w:szCs w:val="24"/>
        </w:rPr>
        <w:t xml:space="preserve">송명욱 v. 김상균 · 조대제 · 신동훈</w:t>
      </w:r>
    </w:p>
    <w:p>
      <w:pPr>
        <w:pBdr>
          <w:bottom w:val="single" w:color="2E75B6" w:sz="6" w:space="8"/>
        </w:pBdr>
        <w:spacing w:after="400"/>
        <w:jc w:val="center"/>
      </w:pPr>
      <w:r>
        <w:rPr>
          <w:rFonts w:ascii="맑은 고딕" w:cs="맑은 고딕" w:eastAsia="맑은 고딕" w:hAnsi="맑은 고딕"/>
          <w:color w:val="999999"/>
          <w:sz w:val="18"/>
          <w:szCs w:val="18"/>
        </w:rPr>
        <w:t xml:space="preserve">2026. 4. 12.  |  법무법인(유한) 대륜  |  담당 송명욱 · 이문용 변호사</w:t>
      </w:r>
    </w:p>
    <w:p>
      <w:pPr>
        <w:pStyle w:val="Heading1"/>
        <w:spacing w:after="200" w:before="360"/>
      </w:pPr>
      <w:r>
        <w:rPr>
          <w:rFonts w:ascii="맑은 고딕" w:cs="맑은 고딕" w:eastAsia="맑은 고딕" w:hAnsi="맑은 고딕"/>
        </w:rPr>
        <w:t xml:space="preserve">제1. 사건 개요</w:t>
      </w:r>
    </w:p>
    <w:p>
      <w:pPr>
        <w:spacing w:after="120" w:line="360"/>
      </w:pPr>
      <w:r>
        <w:rPr>
          <w:rFonts w:ascii="맑은 고딕" w:cs="맑은 고딕" w:eastAsia="맑은 고딕" w:hAnsi="맑은 고딕"/>
          <w:b w:val="false"/>
          <w:bCs w:val="false"/>
          <w:i w:val="false"/>
          <w:iCs w:val="false"/>
          <w:sz w:val="20"/>
          <w:szCs w:val="20"/>
        </w:rPr>
        <w:t xml:space="preserve">법무법인 태율의 소속 변호사 김상균 및 사무장 조대제는 2016년 10월부터 2019년 2월까지 약 2년 5개월에 걸쳐, 법인 메인계좌에서 관리계좌(조대제·김상균 명의)로 자금을 이동한 후, 가수금 반환·대여금 반제·차량리스비·유흥업소 결제 등의 명목으로 법인 자금 합계 약 298,275,180원(범죄일람표 기준)을 유용하였다.</w:t>
      </w:r>
    </w:p>
    <w:p>
      <w:pPr>
        <w:spacing w:after="120" w:line="360"/>
      </w:pPr>
      <w:r>
        <w:rPr>
          <w:rFonts w:ascii="맑은 고딕" w:cs="맑은 고딕" w:eastAsia="맑은 고딕" w:hAnsi="맑은 고딕"/>
          <w:b w:val="false"/>
          <w:bCs w:val="false"/>
          <w:i w:val="false"/>
          <w:iCs w:val="false"/>
          <w:sz w:val="20"/>
          <w:szCs w:val="20"/>
        </w:rPr>
        <w:t xml:space="preserve">이들은 회계장부에 해당 지출을 기재하지 않거나 허위 적요를 기재하였고, 가은회계법인 소속 회계사 신동훈은 이러한 허위 회계처리에 관여하였다.</w:t>
      </w:r>
    </w:p>
    <w:p>
      <w:pPr>
        <w:spacing w:after="120" w:line="360"/>
      </w:pPr>
      <w:r>
        <w:rPr>
          <w:rFonts w:ascii="맑은 고딕" w:cs="맑은 고딕" w:eastAsia="맑은 고딕" w:hAnsi="맑은 고딕"/>
          <w:b w:val="false"/>
          <w:bCs w:val="false"/>
          <w:i w:val="false"/>
          <w:iCs w:val="false"/>
          <w:sz w:val="20"/>
          <w:szCs w:val="20"/>
        </w:rPr>
        <w:t xml:space="preserve">본 전략서는 위 횡령 피해에 대하여 민사상 손해배상을 청구하기 위한 법적 근거, 청구 범위, 증거 구조 및 실행 로드맵을 정리한 것이다.</w:t>
      </w:r>
    </w:p>
    <w:p>
      <w:pPr>
        <w:pStyle w:val="Heading1"/>
        <w:spacing w:after="200" w:before="360"/>
      </w:pPr>
      <w:r>
        <w:rPr>
          <w:rFonts w:ascii="맑은 고딕" w:cs="맑은 고딕" w:eastAsia="맑은 고딕" w:hAnsi="맑은 고딕"/>
        </w:rPr>
        <w:t xml:space="preserve">제2. 피고소인별 피해액 산정</w:t>
      </w:r>
    </w:p>
    <w:p>
      <w:pPr>
        <w:pStyle w:val="Heading2"/>
        <w:spacing w:after="160" w:before="280"/>
      </w:pPr>
      <w:r>
        <w:rPr>
          <w:rFonts w:ascii="맑은 고딕" w:cs="맑은 고딕" w:eastAsia="맑은 고딕" w:hAnsi="맑은 고딕"/>
        </w:rPr>
        <w:t xml:space="preserve">가. 확정 피해액 총괄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피고소인</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가수금·대여금
유용</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차량리스</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유흥·대리운전</w:t>
            </w:r>
          </w:p>
        </w:tc>
        <w:tc>
          <w:tcPr>
            <w:tcW w:type="dxa" w:w="1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소계</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김상균</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94,805,860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61,507,148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29,866,380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bCs/>
                <w:sz w:val="18"/>
                <w:szCs w:val="18"/>
              </w:rPr>
              <w:t xml:space="preserve">186,179,388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조대제</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46,600,000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33,265,672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32,230,120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bCs/>
                <w:sz w:val="18"/>
                <w:szCs w:val="18"/>
              </w:rPr>
              <w:t xml:space="preserve">112,095,792</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합계</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141,405,860</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94,772,820</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62,096,500</w:t>
            </w:r>
          </w:p>
        </w:tc>
        <w:tc>
          <w:tcPr>
            <w:tcW w:type="dxa" w:w="1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맑은 고딕" w:cs="맑은 고딕" w:eastAsia="맑은 고딕" w:hAnsi="맑은 고딕"/>
                <w:b/>
                <w:bCs/>
                <w:sz w:val="18"/>
                <w:szCs w:val="18"/>
              </w:rPr>
              <w:t xml:space="preserve">298,275,180</w:t>
            </w:r>
          </w:p>
        </w:tc>
      </w:tr>
    </w:tbl>
    <w:p>
      <w:pPr>
        <w:spacing w:after="120" w:line="360"/>
      </w:pPr>
      <w:r>
        <w:rPr>
          <w:rFonts w:ascii="맑은 고딕" w:cs="맑은 고딕" w:eastAsia="맑은 고딕" w:hAnsi="맑은 고딕"/>
          <w:b w:val="false"/>
          <w:bCs w:val="false"/>
          <w:i/>
          <w:iCs/>
          <w:sz w:val="20"/>
          <w:szCs w:val="20"/>
        </w:rPr>
        <w:t xml:space="preserve">* ATM 현금인출(유형4) 및 추가 확인 중인 거래 포함 시 총 피해액은 약 340,043,884원으로 확대될 수 있음.</w:t>
      </w:r>
    </w:p>
    <w:p>
      <w:pPr>
        <w:pStyle w:val="Heading2"/>
        <w:spacing w:after="160" w:before="280"/>
      </w:pPr>
      <w:r>
        <w:rPr>
          <w:rFonts w:ascii="맑은 고딕" w:cs="맑은 고딕" w:eastAsia="맑은 고딕" w:hAnsi="맑은 고딕"/>
        </w:rPr>
        <w:t xml:space="preserve">나. 추가 확장 가능 손해</w:t>
      </w:r>
    </w:p>
    <w:p>
      <w:pPr>
        <w:pStyle w:val="ListParagraph"/>
        <w:numPr>
          <w:ilvl w:val="0"/>
          <w:numId w:val="2"/>
        </w:numPr>
        <w:spacing w:after="80"/>
      </w:pPr>
      <w:r>
        <w:rPr>
          <w:rFonts w:ascii="맑은 고딕" w:cs="맑은 고딕" w:eastAsia="맑은 고딕" w:hAnsi="맑은 고딕"/>
          <w:sz w:val="20"/>
          <w:szCs w:val="20"/>
        </w:rPr>
        <w:t xml:space="preserve">현금매출 누락분: 현금매출명세서 기간별 현금매출과 실제 계좌 입금액 대조 미실시 (추가 피해 발견 가능)</w:t>
      </w:r>
    </w:p>
    <w:p>
      <w:pPr>
        <w:pStyle w:val="ListParagraph"/>
        <w:numPr>
          <w:ilvl w:val="0"/>
          <w:numId w:val="2"/>
        </w:numPr>
        <w:spacing w:after="80"/>
      </w:pPr>
      <w:r>
        <w:rPr>
          <w:rFonts w:ascii="맑은 고딕" w:cs="맑은 고딕" w:eastAsia="맑은 고딕" w:hAnsi="맑은 고딕"/>
          <w:sz w:val="20"/>
          <w:szCs w:val="20"/>
        </w:rPr>
        <w:t xml:space="preserve">수임료 유용분: 송명욱 수임금액명세서 ↔ 계좌 교차대조 미실시</w:t>
      </w:r>
    </w:p>
    <w:p>
      <w:pPr>
        <w:pStyle w:val="ListParagraph"/>
        <w:numPr>
          <w:ilvl w:val="0"/>
          <w:numId w:val="2"/>
        </w:numPr>
        <w:spacing w:after="80"/>
      </w:pPr>
      <w:r>
        <w:rPr>
          <w:rFonts w:ascii="맑은 고딕" w:cs="맑은 고딕" w:eastAsia="맑은 고딕" w:hAnsi="맑은 고딕"/>
          <w:sz w:val="20"/>
          <w:szCs w:val="20"/>
        </w:rPr>
        <w:t xml:space="preserve">JAGUAR LA 금액 불일치: 계좌 합산 48,840,000원 vs 보고 50,820,000원 (차이 1,980,000원 원인 미확인)</w:t>
      </w:r>
    </w:p>
    <w:p>
      <w:pPr>
        <w:pStyle w:val="Heading1"/>
        <w:spacing w:after="200" w:before="360"/>
      </w:pPr>
      <w:r>
        <w:rPr>
          <w:rFonts w:ascii="맑은 고딕" w:cs="맑은 고딕" w:eastAsia="맑은 고딕" w:hAnsi="맑은 고딕"/>
        </w:rPr>
        <w:t xml:space="preserve">제3. 청구의 법적 근거</w:t>
      </w:r>
    </w:p>
    <w:p>
      <w:pPr>
        <w:pStyle w:val="Heading2"/>
        <w:spacing w:after="160" w:before="280"/>
      </w:pPr>
      <w:r>
        <w:rPr>
          <w:rFonts w:ascii="맑은 고딕" w:cs="맑은 고딕" w:eastAsia="맑은 고딕" w:hAnsi="맑은 고딕"/>
        </w:rPr>
        <w:t xml:space="preserve">가. 불법행위에 기한 손해배상 (민법 제750조)</w:t>
      </w:r>
    </w:p>
    <w:p>
      <w:pPr>
        <w:spacing w:after="120" w:line="360"/>
      </w:pPr>
      <w:r>
        <w:rPr>
          <w:rFonts w:ascii="맑은 고딕" w:cs="맑은 고딕" w:eastAsia="맑은 고딕" w:hAnsi="맑은 고딕"/>
          <w:b w:val="false"/>
          <w:bCs w:val="false"/>
          <w:i w:val="false"/>
          <w:iCs w:val="false"/>
          <w:sz w:val="20"/>
          <w:szCs w:val="20"/>
        </w:rPr>
        <w:t xml:space="preserve">김상균·조대제가 법인 자금을 정당한 절차 없이 임의 인출하여 개인 용도에 사용한 행위는 불법행위에 해당한다. 부산지방법원 2015가합1829 판결은 공동대표이사가 자금대여약정서도 작성하지 않고 가수금 반제 명목으로 279,000,000원을 임의 인출한 사안에서, 가수금 잔액이 없음에도 인출한 행위를 불법행위로 인정하고 전액 손해배상을 명하였다.</w:t>
      </w:r>
    </w:p>
    <w:p>
      <w:pPr>
        <w:spacing w:after="120" w:line="360"/>
      </w:pPr>
      <w:r>
        <w:rPr>
          <w:rFonts w:ascii="맑은 고딕" w:cs="맑은 고딕" w:eastAsia="맑은 고딕" w:hAnsi="맑은 고딕"/>
          <w:b w:val="false"/>
          <w:bCs w:val="false"/>
          <w:i w:val="false"/>
          <w:iCs w:val="false"/>
          <w:sz w:val="20"/>
          <w:szCs w:val="20"/>
        </w:rPr>
        <w:t xml:space="preserve">본건에서 김상균·조대제는 법인 계좌에서 개인 계좌로 자금을 이체하면서 이사회 결의를 거치지 않았고, 장부에 기재하지 않았으며, 유흥업소·대리운전·개인 차량리스 등 명백히 사적인 용도로 사용하였으므로, 위 판례의 사안보다 위법성이 더욱 중하다.</w:t>
      </w:r>
    </w:p>
    <w:p>
      <w:pPr>
        <w:pStyle w:val="Heading2"/>
        <w:spacing w:after="160" w:before="280"/>
      </w:pPr>
      <w:r>
        <w:rPr>
          <w:rFonts w:ascii="맑은 고딕" w:cs="맑은 고딕" w:eastAsia="맑은 고딕" w:hAnsi="맑은 고딕"/>
        </w:rPr>
        <w:t xml:space="preserve">나. 부당이득반환 (민법 제741조)</w:t>
      </w:r>
    </w:p>
    <w:p>
      <w:pPr>
        <w:spacing w:after="120" w:line="360"/>
      </w:pPr>
      <w:r>
        <w:rPr>
          <w:rFonts w:ascii="맑은 고딕" w:cs="맑은 고딕" w:eastAsia="맑은 고딕" w:hAnsi="맑은 고딕"/>
          <w:b w:val="false"/>
          <w:bCs w:val="false"/>
          <w:i w:val="false"/>
          <w:iCs w:val="false"/>
          <w:sz w:val="20"/>
          <w:szCs w:val="20"/>
        </w:rPr>
        <w:t xml:space="preserve">가수금 반환 명목으로 수령한 금원이 실제로는 가수금 채권이 존재하지 않거나 이미 소멸한 상태에서 수령한 것이라면, 법률상 원인 없는 이득에 해당한다. 법인 장부상 가공의 가수금을 만들어 놓고 이를 반제 명목으로 인출하는 행위는 그 자체로 법률상 원인이 없다.</w:t>
      </w:r>
    </w:p>
    <w:p>
      <w:pPr>
        <w:pStyle w:val="Heading2"/>
        <w:spacing w:after="160" w:before="280"/>
      </w:pPr>
      <w:r>
        <w:rPr>
          <w:rFonts w:ascii="맑은 고딕" w:cs="맑은 고딕" w:eastAsia="맑은 고딕" w:hAnsi="맑은 고딕"/>
        </w:rPr>
        <w:t xml:space="preserve">다. 가수금 횡령의 세법상 함의 (추가 손해 근거)</w:t>
      </w:r>
    </w:p>
    <w:p>
      <w:pPr>
        <w:spacing w:after="120" w:line="360"/>
      </w:pPr>
      <w:r>
        <w:rPr>
          <w:rFonts w:ascii="맑은 고딕" w:cs="맑은 고딕" w:eastAsia="맑은 고딕" w:hAnsi="맑은 고딕"/>
          <w:b w:val="false"/>
          <w:bCs w:val="false"/>
          <w:i w:val="false"/>
          <w:iCs w:val="false"/>
          <w:sz w:val="20"/>
          <w:szCs w:val="20"/>
        </w:rPr>
        <w:t xml:space="preserve">슈퍼로이어 분석에 따르면, 법인의 매출누락액은 특별한 사정이 없는 한 전액 사외유출로 추정되며(대법원 2000두3726), 가수금 계정에 계상하였더라도 대표이사 반제 예정 채무라면 이미 사외유출로 본다. 사후 상계처리도 이미 성립한 납세의무에 영향이 없다.</w:t>
      </w:r>
    </w:p>
    <w:p>
      <w:pPr>
        <w:spacing w:after="120" w:line="360"/>
      </w:pPr>
      <w:r>
        <w:rPr>
          <w:rFonts w:ascii="맑은 고딕" w:cs="맑은 고딕" w:eastAsia="맑은 고딕" w:hAnsi="맑은 고딕"/>
          <w:b w:val="false"/>
          <w:bCs w:val="false"/>
          <w:i w:val="false"/>
          <w:iCs w:val="false"/>
          <w:sz w:val="20"/>
          <w:szCs w:val="20"/>
        </w:rPr>
        <w:t xml:space="preserve">이는 김상균·조대제의 가수금 반제 주장이 민사상으로도 항변이 될 수 없음을 의미한다. 나아가 허위 가수금 처리로 인한 법인세 추징 위험, 원천징수 불이행 가산세 등은 법인이 입은 추가 손해로 청구할 수 있다.</w:t>
      </w:r>
    </w:p>
    <w:p>
      <w:pPr>
        <w:pStyle w:val="Heading2"/>
        <w:spacing w:after="160" w:before="280"/>
      </w:pPr>
      <w:r>
        <w:rPr>
          <w:rFonts w:ascii="맑은 고딕" w:cs="맑은 고딕" w:eastAsia="맑은 고딕" w:hAnsi="맑은 고딕"/>
        </w:rPr>
        <w:t xml:space="preserve">라. 신동훈(가은회계법인)의 공동불법행위 책임</w:t>
      </w:r>
    </w:p>
    <w:p>
      <w:pPr>
        <w:spacing w:after="120" w:line="360"/>
      </w:pPr>
      <w:r>
        <w:rPr>
          <w:rFonts w:ascii="맑은 고딕" w:cs="맑은 고딕" w:eastAsia="맑은 고딕" w:hAnsi="맑은 고딕"/>
          <w:b w:val="false"/>
          <w:bCs w:val="false"/>
          <w:i w:val="false"/>
          <w:iCs w:val="false"/>
          <w:sz w:val="20"/>
          <w:szCs w:val="20"/>
        </w:rPr>
        <w:t xml:space="preserve">신동훈 회계사가 허위 회계처리에 관여한 경우, 민법 제760조의 공동불법행위자로서 김상균·조대제와 연대하여 손해배상 책임을 부담한다. 이는 피해회복의 실효성을 높이는 데 중요하다 — 집행 대상 재산이 3인으로 분산되기 때문이다.</w:t>
      </w:r>
    </w:p>
    <w:p>
      <w:r>
        <w:br w:type="page"/>
      </w:r>
    </w:p>
    <w:p>
      <w:pPr>
        <w:pStyle w:val="Heading1"/>
        <w:spacing w:after="200" w:before="360"/>
      </w:pPr>
      <w:r>
        <w:rPr>
          <w:rFonts w:ascii="맑은 고딕" w:cs="맑은 고딕" w:eastAsia="맑은 고딕" w:hAnsi="맑은 고딕"/>
        </w:rPr>
        <w:t xml:space="preserve">제4. 손해액 산정</w:t>
      </w:r>
    </w:p>
    <w:p>
      <w:pPr>
        <w:pStyle w:val="Heading2"/>
        <w:spacing w:after="160" w:before="280"/>
      </w:pPr>
      <w:r>
        <w:rPr>
          <w:rFonts w:ascii="맑은 고딕" w:cs="맑은 고딕" w:eastAsia="맑은 고딕" w:hAnsi="맑은 고딕"/>
        </w:rPr>
        <w:t xml:space="preserve">가. 원금 (확정분)</w:t>
      </w:r>
    </w:p>
    <w:p>
      <w:pPr>
        <w:spacing w:after="120" w:line="360"/>
      </w:pPr>
      <w:r>
        <w:rPr>
          <w:rFonts w:ascii="맑은 고딕" w:cs="맑은 고딕" w:eastAsia="맑은 고딕" w:hAnsi="맑은 고딕"/>
          <w:b w:val="false"/>
          <w:bCs w:val="false"/>
          <w:i w:val="false"/>
          <w:iCs w:val="false"/>
          <w:sz w:val="20"/>
          <w:szCs w:val="20"/>
        </w:rPr>
        <w:t xml:space="preserve">범죄일람표 기준 확정 피해액: 298,275,180원</w:t>
      </w:r>
    </w:p>
    <w:p>
      <w:pPr>
        <w:spacing w:after="120" w:line="360"/>
      </w:pPr>
      <w:r>
        <w:rPr>
          <w:rFonts w:ascii="맑은 고딕" w:cs="맑은 고딕" w:eastAsia="맑은 고딕" w:hAnsi="맑은 고딕"/>
          <w:b w:val="false"/>
          <w:bCs w:val="false"/>
          <w:i w:val="false"/>
          <w:iCs w:val="false"/>
          <w:sz w:val="20"/>
          <w:szCs w:val="20"/>
        </w:rPr>
        <w:t xml:space="preserve">ATM 인출 등 추가 확인분 포함 시: 약 340,043,884원</w:t>
      </w:r>
    </w:p>
    <w:p>
      <w:pPr>
        <w:pStyle w:val="Heading2"/>
        <w:spacing w:after="160" w:before="280"/>
      </w:pPr>
      <w:r>
        <w:rPr>
          <w:rFonts w:ascii="맑은 고딕" w:cs="맑은 고딕" w:eastAsia="맑은 고딕" w:hAnsi="맑은 고딕"/>
        </w:rPr>
        <w:t xml:space="preserve">나. 지연손해금</w:t>
      </w:r>
    </w:p>
    <w:p>
      <w:pPr>
        <w:spacing w:after="120" w:line="360"/>
      </w:pPr>
      <w:r>
        <w:rPr>
          <w:rFonts w:ascii="맑은 고딕" w:cs="맑은 고딕" w:eastAsia="맑은 고딕" w:hAnsi="맑은 고딕"/>
          <w:b w:val="false"/>
          <w:bCs w:val="false"/>
          <w:i w:val="false"/>
          <w:iCs w:val="false"/>
          <w:sz w:val="20"/>
          <w:szCs w:val="20"/>
        </w:rPr>
        <w:t xml:space="preserve">불법행위에 기한 손해배상에서 지연손해금은 불법행위일(각 거래일)부터 기산한다. 부산지방법원 2015가합1829 판결도 각 인출일을 불법행위일로 보아 그날부터 지연손해금을 인정하였다.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구간</w:t>
            </w:r>
          </w:p>
        </w:tc>
        <w:tc>
          <w:tcPr>
            <w:tcW w:type="dxa" w:w="34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이율</w:t>
            </w:r>
          </w:p>
        </w:tc>
        <w:tc>
          <w:tcPr>
            <w:tcW w:type="dxa" w:w="34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근거</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불법행위일 ~ 소장부본송달일</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연 5%</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민법 제379조</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소장부본송달 다음날 ~ 판결확정일</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연 12%</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소송촉진특례법 (2019.6.1. 이후)</w:t>
            </w:r>
          </w:p>
        </w:tc>
      </w:tr>
    </w:tbl>
    <w:p>
      <w:pPr>
        <w:spacing w:after="120" w:line="360"/>
      </w:pPr>
      <w:r>
        <w:rPr>
          <w:rFonts w:ascii="맑은 고딕" w:cs="맑은 고딕" w:eastAsia="맑은 고딕" w:hAnsi="맑은 고딕"/>
          <w:b w:val="false"/>
          <w:bCs w:val="false"/>
          <w:i/>
          <w:iCs/>
          <w:sz w:val="20"/>
          <w:szCs w:val="20"/>
        </w:rPr>
        <w:t xml:space="preserve">최초 거래일(2016.10.5.)부터 기산하면 약 9년 6개월의 지연손해금이 발생하며, 원금 298,275,180원 기준 연 5%로만 계산하더라도 약 141,680,000원 이상의 지연손해금이 추가된다.</w:t>
      </w:r>
    </w:p>
    <w:p>
      <w:pPr>
        <w:pStyle w:val="Heading2"/>
        <w:spacing w:after="160" w:before="280"/>
      </w:pPr>
      <w:r>
        <w:rPr>
          <w:rFonts w:ascii="맑은 고딕" w:cs="맑은 고딕" w:eastAsia="맑은 고딕" w:hAnsi="맑은 고딕"/>
        </w:rPr>
        <w:t xml:space="preserve">다. 부대 손해</w:t>
      </w:r>
    </w:p>
    <w:p>
      <w:pPr>
        <w:pStyle w:val="ListParagraph"/>
        <w:numPr>
          <w:ilvl w:val="0"/>
          <w:numId w:val="2"/>
        </w:numPr>
        <w:spacing w:after="80"/>
      </w:pPr>
      <w:r>
        <w:rPr>
          <w:rFonts w:ascii="맑은 고딕" w:cs="맑은 고딕" w:eastAsia="맑은 고딕" w:hAnsi="맑은 고딕"/>
          <w:sz w:val="20"/>
          <w:szCs w:val="20"/>
        </w:rPr>
        <w:t xml:space="preserve">회계감정 비용: 법인 장부 전체 대조를 위한 감정 비용</w:t>
      </w:r>
    </w:p>
    <w:p>
      <w:pPr>
        <w:pStyle w:val="ListParagraph"/>
        <w:numPr>
          <w:ilvl w:val="0"/>
          <w:numId w:val="2"/>
        </w:numPr>
        <w:spacing w:after="80"/>
      </w:pPr>
      <w:r>
        <w:rPr>
          <w:rFonts w:ascii="맑은 고딕" w:cs="맑은 고딕" w:eastAsia="맑은 고딕" w:hAnsi="맑은 고딕"/>
          <w:sz w:val="20"/>
          <w:szCs w:val="20"/>
        </w:rPr>
        <w:t xml:space="preserve">세무 추징 위험: 법인세 추징, 원천징수 불이행 가산세 (법인이 부담하게 될 금액)</w:t>
      </w:r>
    </w:p>
    <w:p>
      <w:pPr>
        <w:pStyle w:val="ListParagraph"/>
        <w:numPr>
          <w:ilvl w:val="0"/>
          <w:numId w:val="2"/>
        </w:numPr>
        <w:spacing w:after="80"/>
      </w:pPr>
      <w:r>
        <w:rPr>
          <w:rFonts w:ascii="맑은 고딕" w:cs="맑은 고딕" w:eastAsia="맑은 고딕" w:hAnsi="맑은 고딕"/>
          <w:sz w:val="20"/>
          <w:szCs w:val="20"/>
        </w:rPr>
        <w:t xml:space="preserve">변호사 보수: 소송비용 확정 시 피고 부담</w:t>
      </w:r>
    </w:p>
    <w:p>
      <w:pPr>
        <w:pStyle w:val="Heading2"/>
        <w:spacing w:after="160" w:before="280"/>
      </w:pPr>
      <w:r>
        <w:rPr>
          <w:rFonts w:ascii="맑은 고딕" w:cs="맑은 고딕" w:eastAsia="맑은 고딕" w:hAnsi="맑은 고딕"/>
        </w:rPr>
        <w:t xml:space="preserve">라. 청구 총액 (추정)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항목</w:t>
            </w:r>
          </w:p>
        </w:tc>
        <w:tc>
          <w:tcPr>
            <w:tcW w:type="dxa" w:w="4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금액 (원)</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확정 피해 원금 (범죄일람표 기준)</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298,275,180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ATM 인출 등 추가 확인분</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~41,768,704</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지연손해금 (연 5%, 약 9.5년 기준 추정)</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18"/>
                <w:szCs w:val="18"/>
              </w:rPr>
              <w:t xml:space="preserve">~141,680,000</w:t>
            </w:r>
          </w:p>
        </w:tc>
      </w:tr>
      <w:tr>
        <w:tc>
          <w:tcPr>
            <w:tcW w:type="dxa" w:w="5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합계 (추정 최소)</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맑은 고딕" w:cs="맑은 고딕" w:eastAsia="맑은 고딕" w:hAnsi="맑은 고딕"/>
                <w:b/>
                <w:bCs/>
                <w:sz w:val="18"/>
                <w:szCs w:val="18"/>
              </w:rPr>
              <w:t xml:space="preserve">~481,723,884</w:t>
            </w:r>
          </w:p>
        </w:tc>
      </w:tr>
    </w:tbl>
    <w:p>
      <w:r>
        <w:br w:type="page"/>
      </w:r>
    </w:p>
    <w:p>
      <w:pPr>
        <w:pStyle w:val="Heading1"/>
        <w:spacing w:after="200" w:before="360"/>
      </w:pPr>
      <w:r>
        <w:rPr>
          <w:rFonts w:ascii="맑은 고딕" w:cs="맑은 고딕" w:eastAsia="맑은 고딕" w:hAnsi="맑은 고딕"/>
        </w:rPr>
        <w:t xml:space="preserve">제5. 증거 구조 및 입증 전략</w:t>
      </w:r>
    </w:p>
    <w:p>
      <w:pPr>
        <w:pStyle w:val="Heading2"/>
        <w:spacing w:after="160" w:before="280"/>
      </w:pPr>
      <w:r>
        <w:rPr>
          <w:rFonts w:ascii="맑은 고딕" w:cs="맑은 고딕" w:eastAsia="맑은 고딕" w:hAnsi="맑은 고딕"/>
        </w:rPr>
        <w:t xml:space="preserve">가. 핵심 입증 공식</w:t>
      </w:r>
    </w:p>
    <w:p>
      <w:pPr>
        <w:spacing w:after="120" w:line="360"/>
      </w:pPr>
      <w:r>
        <w:rPr>
          <w:rFonts w:ascii="맑은 고딕" w:cs="맑은 고딕" w:eastAsia="맑은 고딕" w:hAnsi="맑은 고딕"/>
          <w:b/>
          <w:bCs/>
          <w:i w:val="false"/>
          <w:iCs w:val="false"/>
          <w:sz w:val="20"/>
          <w:szCs w:val="20"/>
        </w:rPr>
        <w:t xml:space="preserve">장부 미기재 + 적요 불일치 + 사적 지출 = 횡령 추정</w:t>
      </w:r>
    </w:p>
    <w:p>
      <w:pPr>
        <w:spacing w:after="120" w:line="360"/>
      </w:pPr>
      <w:r>
        <w:rPr>
          <w:rFonts w:ascii="맑은 고딕" w:cs="맑은 고딕" w:eastAsia="맑은 고딕" w:hAnsi="맑은 고딕"/>
          <w:b w:val="false"/>
          <w:bCs w:val="false"/>
          <w:i w:val="false"/>
          <w:iCs w:val="false"/>
          <w:sz w:val="20"/>
          <w:szCs w:val="20"/>
        </w:rPr>
        <w:t xml:space="preserve">이 공식은 대구고등법원 2019노382, 광주지방법원 목포지원 2014고합123, 대법원 2003도5631 등의 판례에서 확립된 법리에 기초한다. 가수금채권이 있더라도 정당한 절차 없이 임의 인출하면 횡령이 성립하고, 사후 상계처리도 이미 성립한 납세의무(및 손해)에 영향을 미치지 않는다.</w:t>
      </w:r>
    </w:p>
    <w:p>
      <w:pPr>
        <w:pStyle w:val="Heading2"/>
        <w:spacing w:after="160" w:before="280"/>
      </w:pPr>
      <w:r>
        <w:rPr>
          <w:rFonts w:ascii="맑은 고딕" w:cs="맑은 고딕" w:eastAsia="맑은 고딕" w:hAnsi="맑은 고딕"/>
        </w:rPr>
        <w:t xml:space="preserve">나. 적요 병렬비교 (별지B)</w:t>
      </w:r>
    </w:p>
    <w:p>
      <w:pPr>
        <w:spacing w:after="120" w:line="360"/>
      </w:pPr>
      <w:r>
        <w:rPr>
          <w:rFonts w:ascii="맑은 고딕" w:cs="맑은 고딕" w:eastAsia="맑은 고딕" w:hAnsi="맑은 고딕"/>
          <w:b w:val="false"/>
          <w:bCs w:val="false"/>
          <w:i w:val="false"/>
          <w:iCs w:val="false"/>
          <w:sz w:val="20"/>
          <w:szCs w:val="20"/>
        </w:rPr>
        <w:t xml:space="preserve">송명욱 변호사의 정상 거래 19건 중 17건(89.5%)이 장부·적요·세금계산서 3중 일치하는 반면, 조대제·김상균의 29건은 장부 기재가 전무하다. 이 대비가 업무상 정당성 결여의 가장 강력한 간접증거이다.</w:t>
      </w:r>
    </w:p>
    <w:p>
      <w:pPr>
        <w:pStyle w:val="Heading2"/>
        <w:spacing w:after="160" w:before="280"/>
      </w:pPr>
      <w:r>
        <w:rPr>
          <w:rFonts w:ascii="맑은 고딕" w:cs="맑은 고딕" w:eastAsia="맑은 고딕" w:hAnsi="맑은 고딕"/>
        </w:rPr>
        <w:t xml:space="preserve">다. 3단계 자금 흐름 추적</w:t>
      </w:r>
    </w:p>
    <w:p>
      <w:pPr>
        <w:pStyle w:val="ListParagraph"/>
        <w:numPr>
          <w:ilvl w:val="0"/>
          <w:numId w:val="3"/>
        </w:numPr>
        <w:spacing w:after="80"/>
      </w:pPr>
      <w:r>
        <w:rPr>
          <w:rFonts w:ascii="맑은 고딕" w:cs="맑은 고딕" w:eastAsia="맑은 고딕" w:hAnsi="맑은 고딕"/>
          <w:sz w:val="20"/>
          <w:szCs w:val="20"/>
        </w:rPr>
        <w:t xml:space="preserve">1단계: 메인계좌(907204) → 관리계좌(751404, 951104)로 약 403,000,000원 이동 (별지A)</w:t>
      </w:r>
    </w:p>
    <w:p>
      <w:pPr>
        <w:pStyle w:val="ListParagraph"/>
        <w:numPr>
          <w:ilvl w:val="0"/>
          <w:numId w:val="3"/>
        </w:numPr>
        <w:spacing w:after="80"/>
      </w:pPr>
      <w:r>
        <w:rPr>
          <w:rFonts w:ascii="맑은 고딕" w:cs="맑은 고딕" w:eastAsia="맑은 고딕" w:hAnsi="맑은 고딕"/>
          <w:sz w:val="20"/>
          <w:szCs w:val="20"/>
        </w:rPr>
        <w:t xml:space="preserve">2단계: 관리계좌 → 횡령 (유형1~4, 약 298,275,180원 ~ 340,043,884원)</w:t>
      </w:r>
    </w:p>
    <w:p>
      <w:pPr>
        <w:pStyle w:val="ListParagraph"/>
        <w:numPr>
          <w:ilvl w:val="0"/>
          <w:numId w:val="3"/>
        </w:numPr>
        <w:spacing w:after="80"/>
      </w:pPr>
      <w:r>
        <w:rPr>
          <w:rFonts w:ascii="맑은 고딕" w:cs="맑은 고딕" w:eastAsia="맑은 고딕" w:hAnsi="맑은 고딕"/>
          <w:sz w:val="20"/>
          <w:szCs w:val="20"/>
        </w:rPr>
        <w:t xml:space="preserve">3단계: 장부조작으로 은닉 (적요 미기재, 허위 가수금 회계처리)</w:t>
      </w:r>
    </w:p>
    <w:p>
      <w:pPr>
        <w:pStyle w:val="Heading2"/>
        <w:spacing w:after="160" w:before="280"/>
      </w:pPr>
      <w:r>
        <w:rPr>
          <w:rFonts w:ascii="맑은 고딕" w:cs="맑은 고딕" w:eastAsia="맑은 고딕" w:hAnsi="맑은 고딕"/>
        </w:rPr>
        <w:t xml:space="preserve">라. 거래 신뢰도 등급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등급</w:t>
            </w:r>
          </w:p>
        </w:tc>
        <w:tc>
          <w:tcPr>
            <w:tcW w:type="dxa" w:w="4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기준</w:t>
            </w:r>
          </w:p>
        </w:tc>
        <w:tc>
          <w:tcPr>
            <w:tcW w:type="dxa" w:w="4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소장 활용</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A (확정)</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계좌·장부·적요 3중 확인, 사적 지출 명백</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소장에 즉시 포함 (약 298M)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B (고도개연)</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장부 미기재 + 패턴 부합, 소명자료 없음</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소장 포함, 석명 대비 (~42M 추가분)</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C (조사필요)</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금액 불일치·적요 모호, 추가 자료 필요</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수사기관 조사 요청</w:t>
            </w:r>
          </w:p>
        </w:tc>
      </w:tr>
    </w:tbl>
    <w:p>
      <w:r>
        <w:br w:type="page"/>
      </w:r>
    </w:p>
    <w:p>
      <w:pPr>
        <w:pStyle w:val="Heading1"/>
        <w:spacing w:after="200" w:before="360"/>
      </w:pPr>
      <w:r>
        <w:rPr>
          <w:rFonts w:ascii="맑은 고딕" w:cs="맑은 고딕" w:eastAsia="맑은 고딕" w:hAnsi="맑은 고딕"/>
        </w:rPr>
        <w:t xml:space="preserve">제6. 실행 로드맵</w:t>
      </w:r>
    </w:p>
    <w:p>
      <w:pPr>
        <w:pStyle w:val="Heading2"/>
        <w:spacing w:after="160" w:before="280"/>
      </w:pPr>
      <w:r>
        <w:rPr>
          <w:rFonts w:ascii="맑은 고딕" w:cs="맑은 고딕" w:eastAsia="맑은 고딕" w:hAnsi="맑은 고딕"/>
        </w:rPr>
        <w:t xml:space="preserve">가. 1단계: 형사 고소 → 수사기관 활용 (현 단계)</w:t>
      </w:r>
    </w:p>
    <w:p>
      <w:pPr>
        <w:spacing w:after="120" w:line="360"/>
      </w:pPr>
      <w:r>
        <w:rPr>
          <w:rFonts w:ascii="맑은 고딕" w:cs="맑은 고딕" w:eastAsia="맑은 고딕" w:hAnsi="맑은 고딕"/>
          <w:b w:val="false"/>
          <w:bCs w:val="false"/>
          <w:i w:val="false"/>
          <w:iCs w:val="false"/>
          <w:sz w:val="20"/>
          <w:szCs w:val="20"/>
        </w:rPr>
        <w:t xml:space="preserve">고소장 v4(3단계 자금세탁 구조) 제출 완료. 수사기관의 강제 조사권을 활용하여 다음을 확보한다:</w:t>
      </w:r>
    </w:p>
    <w:p>
      <w:pPr>
        <w:pStyle w:val="ListParagraph"/>
        <w:numPr>
          <w:ilvl w:val="0"/>
          <w:numId w:val="2"/>
        </w:numPr>
        <w:spacing w:after="80"/>
      </w:pPr>
      <w:r>
        <w:rPr>
          <w:rFonts w:ascii="맑은 고딕" w:cs="맑은 고딕" w:eastAsia="맑은 고딕" w:hAnsi="맑은 고딕"/>
          <w:sz w:val="20"/>
          <w:szCs w:val="20"/>
        </w:rPr>
        <w:t xml:space="preserve">압수수색: 법무법인 태율 회계 장부 원본, 세무신고 서류</w:t>
      </w:r>
    </w:p>
    <w:p>
      <w:pPr>
        <w:pStyle w:val="ListParagraph"/>
        <w:numPr>
          <w:ilvl w:val="0"/>
          <w:numId w:val="2"/>
        </w:numPr>
        <w:spacing w:after="80"/>
      </w:pPr>
      <w:r>
        <w:rPr>
          <w:rFonts w:ascii="맑은 고딕" w:cs="맑은 고딕" w:eastAsia="맑은 고딕" w:hAnsi="맑은 고딕"/>
          <w:sz w:val="20"/>
          <w:szCs w:val="20"/>
        </w:rPr>
        <w:t xml:space="preserve">금융거래정보 조회: 김상균·조대제 개인 계좌 전체 내역</w:t>
      </w:r>
    </w:p>
    <w:p>
      <w:pPr>
        <w:pStyle w:val="ListParagraph"/>
        <w:numPr>
          <w:ilvl w:val="0"/>
          <w:numId w:val="2"/>
        </w:numPr>
        <w:spacing w:after="80"/>
      </w:pPr>
      <w:r>
        <w:rPr>
          <w:rFonts w:ascii="맑은 고딕" w:cs="맑은 고딕" w:eastAsia="맑은 고딕" w:hAnsi="맑은 고딕"/>
          <w:sz w:val="20"/>
          <w:szCs w:val="20"/>
        </w:rPr>
        <w:t xml:space="preserve">세무자료: 국세청 과세자료 (법인세 신고, 원천징수 이행상황)</w:t>
      </w:r>
    </w:p>
    <w:p>
      <w:pPr>
        <w:pStyle w:val="Heading2"/>
        <w:spacing w:after="160" w:before="280"/>
      </w:pPr>
      <w:r>
        <w:rPr>
          <w:rFonts w:ascii="맑은 고딕" w:cs="맑은 고딕" w:eastAsia="맑은 고딕" w:hAnsi="맑은 고딕"/>
        </w:rPr>
        <w:t xml:space="preserve">나. 2단계: 가압류 (형사 수사 병행)</w:t>
      </w:r>
    </w:p>
    <w:p>
      <w:pPr>
        <w:spacing w:after="120" w:line="360"/>
      </w:pPr>
      <w:r>
        <w:rPr>
          <w:rFonts w:ascii="맑은 고딕" w:cs="맑은 고딕" w:eastAsia="맑은 고딕" w:hAnsi="맑은 고딕"/>
          <w:b w:val="false"/>
          <w:bCs w:val="false"/>
          <w:i w:val="false"/>
          <w:iCs w:val="false"/>
          <w:sz w:val="20"/>
          <w:szCs w:val="20"/>
        </w:rPr>
        <w:t xml:space="preserve">민사 소장 제출 전이라도 피보전채권의 소명이 가능하면 가압류 신청이 가능하다. 범죄일람표와 계좌 거래내역이 소명자료가 된다.</w:t>
      </w:r>
    </w:p>
    <w:p>
      <w:pPr>
        <w:pStyle w:val="ListParagraph"/>
        <w:numPr>
          <w:ilvl w:val="0"/>
          <w:numId w:val="2"/>
        </w:numPr>
        <w:spacing w:after="80"/>
      </w:pPr>
      <w:r>
        <w:rPr>
          <w:rFonts w:ascii="맑은 고딕" w:cs="맑은 고딕" w:eastAsia="맑은 고딕" w:hAnsi="맑은 고딕"/>
          <w:sz w:val="20"/>
          <w:szCs w:val="20"/>
        </w:rPr>
        <w:t xml:space="preserve">대상: 김상균·조대제 명의 부동산, 예금채권, 차량 등</w:t>
      </w:r>
    </w:p>
    <w:p>
      <w:pPr>
        <w:pStyle w:val="ListParagraph"/>
        <w:numPr>
          <w:ilvl w:val="0"/>
          <w:numId w:val="2"/>
        </w:numPr>
        <w:spacing w:after="80"/>
      </w:pPr>
      <w:r>
        <w:rPr>
          <w:rFonts w:ascii="맑은 고딕" w:cs="맑은 고딕" w:eastAsia="맑은 고딕" w:hAnsi="맑은 고딕"/>
          <w:sz w:val="20"/>
          <w:szCs w:val="20"/>
        </w:rPr>
        <w:t xml:space="preserve">재산 조회: 수사 과정에서 확인되는 재산 정보 활용</w:t>
      </w:r>
    </w:p>
    <w:p>
      <w:pPr>
        <w:pStyle w:val="Heading2"/>
        <w:spacing w:after="160" w:before="280"/>
      </w:pPr>
      <w:r>
        <w:rPr>
          <w:rFonts w:ascii="맑은 고딕" w:cs="맑은 고딕" w:eastAsia="맑은 고딕" w:hAnsi="맑은 고딕"/>
        </w:rPr>
        <w:t xml:space="preserve">다. 3단계: 민사 손해배상 소장 제출</w:t>
      </w:r>
    </w:p>
    <w:p>
      <w:pPr>
        <w:spacing w:after="120" w:line="360"/>
      </w:pPr>
      <w:r>
        <w:rPr>
          <w:rFonts w:ascii="맑은 고딕" w:cs="맑은 고딕" w:eastAsia="맑은 고딕" w:hAnsi="맑은 고딕"/>
          <w:b w:val="false"/>
          <w:bCs w:val="false"/>
          <w:i w:val="false"/>
          <w:iCs w:val="false"/>
          <w:sz w:val="20"/>
          <w:szCs w:val="20"/>
        </w:rPr>
        <w:t xml:space="preserve">형사 수사에서 확보된 추가 증거를 반영하여 소장을 작성한다.</w:t>
      </w:r>
    </w:p>
    <w:p>
      <w:pPr>
        <w:pStyle w:val="ListParagraph"/>
        <w:numPr>
          <w:ilvl w:val="0"/>
          <w:numId w:val="2"/>
        </w:numPr>
        <w:spacing w:after="80"/>
      </w:pPr>
      <w:r>
        <w:rPr>
          <w:rFonts w:ascii="맑은 고딕" w:cs="맑은 고딕" w:eastAsia="맑은 고딕" w:hAnsi="맑은 고딕"/>
          <w:sz w:val="20"/>
          <w:szCs w:val="20"/>
        </w:rPr>
        <w:t xml:space="preserve">청구원인: 불법행위(민법 제750조) + 부당이득(민법 제741조) 선택적 병합</w:t>
      </w:r>
    </w:p>
    <w:p>
      <w:pPr>
        <w:pStyle w:val="ListParagraph"/>
        <w:numPr>
          <w:ilvl w:val="0"/>
          <w:numId w:val="2"/>
        </w:numPr>
        <w:spacing w:after="80"/>
      </w:pPr>
      <w:r>
        <w:rPr>
          <w:rFonts w:ascii="맑은 고딕" w:cs="맑은 고딕" w:eastAsia="맑은 고딕" w:hAnsi="맑은 고딕"/>
          <w:sz w:val="20"/>
          <w:szCs w:val="20"/>
        </w:rPr>
        <w:t xml:space="preserve">피고: 김상균, 조대제, 신동훈 (공동불법행위, 연대책임)</w:t>
      </w:r>
    </w:p>
    <w:p>
      <w:pPr>
        <w:pStyle w:val="ListParagraph"/>
        <w:numPr>
          <w:ilvl w:val="0"/>
          <w:numId w:val="2"/>
        </w:numPr>
        <w:spacing w:after="80"/>
      </w:pPr>
      <w:r>
        <w:rPr>
          <w:rFonts w:ascii="맑은 고딕" w:cs="맑은 고딕" w:eastAsia="맑은 고딕" w:hAnsi="맑은 고딕"/>
          <w:sz w:val="20"/>
          <w:szCs w:val="20"/>
        </w:rPr>
        <w:t xml:space="preserve">청구액: 원금 + 지연손해금 + 부대손해 (약 4.8억원~)</w:t>
      </w:r>
    </w:p>
    <w:p>
      <w:pPr>
        <w:pStyle w:val="Heading2"/>
        <w:spacing w:after="160" w:before="280"/>
      </w:pPr>
      <w:r>
        <w:rPr>
          <w:rFonts w:ascii="맑은 고딕" w:cs="맑은 고딕" w:eastAsia="맑은 고딕" w:hAnsi="맑은 고딕"/>
        </w:rPr>
        <w:t xml:space="preserve">라. 4단계: 형사 유죄 확정 시 배상명령</w:t>
      </w:r>
    </w:p>
    <w:p>
      <w:pPr>
        <w:spacing w:after="120" w:line="360"/>
      </w:pPr>
      <w:r>
        <w:rPr>
          <w:rFonts w:ascii="맑은 고딕" w:cs="맑은 고딕" w:eastAsia="맑은 고딕" w:hAnsi="맑은 고딕"/>
          <w:b w:val="false"/>
          <w:bCs w:val="false"/>
          <w:i w:val="false"/>
          <w:iCs w:val="false"/>
          <w:sz w:val="20"/>
          <w:szCs w:val="20"/>
        </w:rPr>
        <w:t xml:space="preserve">형사 재판에서 유죄가 확정되면, 배상명령(소송촉진법 제25조)을 통해 민사 소송보다 신속하게 집행권원을 확보할 수 있다.</w:t>
      </w:r>
    </w:p>
    <w:p>
      <w:pPr>
        <w:pStyle w:val="Heading1"/>
        <w:spacing w:after="200" w:before="360"/>
      </w:pPr>
      <w:r>
        <w:rPr>
          <w:rFonts w:ascii="맑은 고딕" w:cs="맑은 고딕" w:eastAsia="맑은 고딕" w:hAnsi="맑은 고딕"/>
        </w:rPr>
        <w:t xml:space="preserve">제7. 예상 항변 및 대응</w:t>
      </w:r>
    </w:p>
    <w:p>
      <w:pPr>
        <w:pStyle w:val="Heading2"/>
        <w:spacing w:after="160" w:before="280"/>
      </w:pPr>
      <w:r>
        <w:rPr>
          <w:rFonts w:ascii="맑은 고딕" w:cs="맑은 고딕" w:eastAsia="맑은 고딕" w:hAnsi="맑은 고딕"/>
        </w:rPr>
        <w:t xml:space="preserve">가. '가수금 채권이 있었다'</w:t>
      </w:r>
    </w:p>
    <w:p>
      <w:pPr>
        <w:spacing w:after="120" w:line="360"/>
      </w:pPr>
      <w:r>
        <w:rPr>
          <w:rFonts w:ascii="맑은 고딕" w:cs="맑은 고딕" w:eastAsia="맑은 고딕" w:hAnsi="맑은 고딕"/>
          <w:b w:val="false"/>
          <w:bCs w:val="false"/>
          <w:i w:val="false"/>
          <w:iCs w:val="false"/>
          <w:sz w:val="20"/>
          <w:szCs w:val="20"/>
        </w:rPr>
        <w:t xml:space="preserve">대응: 가수금채권이 있더라도 정당한 절차(이사회 결의 등) 없이 임의 인출하면 횡령이 성립한다(대구고법 2019노382). 나아가 장부에 기재되지 않은 가수금은 가공가수금으로 추정되며, 반증 책임은 피고에게 있다.</w:t>
      </w:r>
    </w:p>
    <w:p>
      <w:pPr>
        <w:pStyle w:val="Heading2"/>
        <w:spacing w:after="160" w:before="280"/>
      </w:pPr>
      <w:r>
        <w:rPr>
          <w:rFonts w:ascii="맑은 고딕" w:cs="맑은 고딕" w:eastAsia="맑은 고딕" w:hAnsi="맑은 고딕"/>
        </w:rPr>
        <w:t xml:space="preserve">나. '업무상 필요한 지출이었다'</w:t>
      </w:r>
    </w:p>
    <w:p>
      <w:pPr>
        <w:spacing w:after="120" w:line="360"/>
      </w:pPr>
      <w:r>
        <w:rPr>
          <w:rFonts w:ascii="맑은 고딕" w:cs="맑은 고딕" w:eastAsia="맑은 고딕" w:hAnsi="맑은 고딕"/>
          <w:b w:val="false"/>
          <w:bCs w:val="false"/>
          <w:i w:val="false"/>
          <w:iCs w:val="false"/>
          <w:sz w:val="20"/>
          <w:szCs w:val="20"/>
        </w:rPr>
        <w:t xml:space="preserve">대응: 적요 병렬비교(별지B)가 결정적이다. 송명욱 변호사의 동일 기간 정상 거래는 89.5%가 장부·적요·세금계산서 3중 일치하는 반면, 김상균·조대제의 29건은 장부 기재가 전무하다. 업무상 지출이라면 왜 장부에 기재하지 않았는지를 피고가 소명해야 한다.</w:t>
      </w:r>
    </w:p>
    <w:p>
      <w:pPr>
        <w:pStyle w:val="Heading2"/>
        <w:spacing w:after="160" w:before="280"/>
      </w:pPr>
      <w:r>
        <w:rPr>
          <w:rFonts w:ascii="맑은 고딕" w:cs="맑은 고딕" w:eastAsia="맑은 고딕" w:hAnsi="맑은 고딕"/>
        </w:rPr>
        <w:t xml:space="preserve">다. '사후 상계·정산하였다'</w:t>
      </w:r>
    </w:p>
    <w:p>
      <w:pPr>
        <w:spacing w:after="120" w:line="360"/>
      </w:pPr>
      <w:r>
        <w:rPr>
          <w:rFonts w:ascii="맑은 고딕" w:cs="맑은 고딕" w:eastAsia="맑은 고딕" w:hAnsi="맑은 고딕"/>
          <w:b w:val="false"/>
          <w:bCs w:val="false"/>
          <w:i w:val="false"/>
          <w:iCs w:val="false"/>
          <w:sz w:val="20"/>
          <w:szCs w:val="20"/>
        </w:rPr>
        <w:t xml:space="preserve">대응: 대법원 2000두3726은 매출누락액을 가수금으로 처리한 후 사후 상계 대체처리한 경우에도 이미 성립한 납세의무에 영향이 없다고 판시하였다. 민사상 손해배상에서도 동일한 법리가 적용된다 — 횡령으로 발생한 손해는 사후 반환으로 소멸하지 않는다.</w:t>
      </w:r>
    </w:p>
    <w:p>
      <w:pPr>
        <w:pStyle w:val="Heading2"/>
        <w:spacing w:after="160" w:before="280"/>
      </w:pPr>
      <w:r>
        <w:rPr>
          <w:rFonts w:ascii="맑은 고딕" w:cs="맑은 고딕" w:eastAsia="맑은 고딕" w:hAnsi="맑은 고딕"/>
        </w:rPr>
        <w:t xml:space="preserve">라. '소멸시효 완성'</w:t>
      </w:r>
    </w:p>
    <w:p>
      <w:pPr>
        <w:spacing w:after="120" w:line="360"/>
      </w:pPr>
      <w:r>
        <w:rPr>
          <w:rFonts w:ascii="맑은 고딕" w:cs="맑은 고딕" w:eastAsia="맑은 고딕" w:hAnsi="맑은 고딕"/>
          <w:b w:val="false"/>
          <w:bCs w:val="false"/>
          <w:i w:val="false"/>
          <w:iCs w:val="false"/>
          <w:sz w:val="20"/>
          <w:szCs w:val="20"/>
        </w:rPr>
        <w:t xml:space="preserve">대응: 불법행위에 기한 손해배상 청구권의 소멸시효는 손해 및 가해자를 안 날로부터 3년, 불법행위일로부터 10년이다(민법 제766조). 최초 거래일이 2016.10.5.이므로 10년 시효는 2026.10.5.까지이다. 다만 최근 거래(2019.2.)는 아직 7년밖에 경과하지 않았다. '손해를 안 날'의 기산점도 쟁점이 될 수 있으므로, 신속한 소 제기가 필요하다.</w:t>
      </w:r>
    </w:p>
    <w:p>
      <w:pPr>
        <w:pStyle w:val="Heading1"/>
        <w:spacing w:after="200" w:before="360"/>
      </w:pPr>
      <w:r>
        <w:rPr>
          <w:rFonts w:ascii="맑은 고딕" w:cs="맑은 고딕" w:eastAsia="맑은 고딕" w:hAnsi="맑은 고딕"/>
        </w:rPr>
        <w:t xml:space="preserve">제8. 즉시 조치사항</w:t>
      </w:r>
    </w:p>
    <w:p>
      <w:pPr>
        <w:pStyle w:val="ListParagraph"/>
        <w:numPr>
          <w:ilvl w:val="0"/>
          <w:numId w:val="3"/>
        </w:numPr>
        <w:spacing w:after="100"/>
      </w:pPr>
      <w:r>
        <w:rPr>
          <w:rFonts w:ascii="맑은 고딕" w:cs="맑은 고딕" w:eastAsia="맑은 고딕" w:hAnsi="맑은 고딕"/>
          <w:b/>
          <w:bCs/>
          <w:sz w:val="20"/>
          <w:szCs w:val="20"/>
        </w:rPr>
        <w:t xml:space="preserve">소멸시효 관리: 2016년 10월 거래분의 10년 시효가 2026년 10월 도래 → 6개월 이내 소 제기 또는 시효중단 조치 필수</w:t>
      </w:r>
    </w:p>
    <w:p>
      <w:pPr>
        <w:pStyle w:val="ListParagraph"/>
        <w:numPr>
          <w:ilvl w:val="0"/>
          <w:numId w:val="3"/>
        </w:numPr>
        <w:spacing w:after="100"/>
      </w:pPr>
      <w:r>
        <w:rPr>
          <w:rFonts w:ascii="맑은 고딕" w:cs="맑은 고딕" w:eastAsia="맑은 고딕" w:hAnsi="맑은 고딕"/>
          <w:sz w:val="20"/>
          <w:szCs w:val="20"/>
        </w:rPr>
        <w:t xml:space="preserve">미완료 교차대조 실시: 송명욱 수임금액명세서 ↔ 계좌, 현금매출명세서 ↔ 계좌 입금 대조 → 추가 피해액 확정</w:t>
      </w:r>
    </w:p>
    <w:p>
      <w:pPr>
        <w:pStyle w:val="ListParagraph"/>
        <w:numPr>
          <w:ilvl w:val="0"/>
          <w:numId w:val="3"/>
        </w:numPr>
        <w:spacing w:after="100"/>
      </w:pPr>
      <w:r>
        <w:rPr>
          <w:rFonts w:ascii="맑은 고딕" w:cs="맑은 고딕" w:eastAsia="맑은 고딕" w:hAnsi="맑은 고딕"/>
          <w:sz w:val="20"/>
          <w:szCs w:val="20"/>
        </w:rPr>
        <w:t xml:space="preserve">재산 조사: 김상균·조대제 명의 부동산·차량·예금 조회 → 가압류 대상 특정</w:t>
      </w:r>
    </w:p>
    <w:p>
      <w:pPr>
        <w:pStyle w:val="ListParagraph"/>
        <w:numPr>
          <w:ilvl w:val="0"/>
          <w:numId w:val="3"/>
        </w:numPr>
        <w:spacing w:after="100"/>
      </w:pPr>
      <w:r>
        <w:rPr>
          <w:rFonts w:ascii="맑은 고딕" w:cs="맑은 고딕" w:eastAsia="맑은 고딕" w:hAnsi="맑은 고딕"/>
          <w:sz w:val="20"/>
          <w:szCs w:val="20"/>
        </w:rPr>
        <w:t xml:space="preserve">지연손해금 정밀 산정: 거래 건별 불법행위일 기준 이자 계산표 작성</w:t>
      </w:r>
    </w:p>
    <w:p>
      <w:pPr>
        <w:pStyle w:val="ListParagraph"/>
        <w:numPr>
          <w:ilvl w:val="0"/>
          <w:numId w:val="3"/>
        </w:numPr>
        <w:spacing w:after="100"/>
      </w:pPr>
      <w:r>
        <w:rPr>
          <w:rFonts w:ascii="맑은 고딕" w:cs="맑은 고딕" w:eastAsia="맑은 고딕" w:hAnsi="맑은 고딕"/>
          <w:sz w:val="20"/>
          <w:szCs w:val="20"/>
        </w:rPr>
        <w:t xml:space="preserve">고소장 제출 관할 확인: 송파경찰서 관할 여부 최종 확인</w:t>
      </w:r>
    </w:p>
    <w:p>
      <w:pPr>
        <w:spacing w:after="120" w:line="360"/>
      </w:pPr>
      <w:r>
        <w:rPr>
          <w:rFonts w:ascii="맑은 고딕" w:cs="맑은 고딕" w:eastAsia="맑은 고딕" w:hAnsi="맑은 고딕"/>
          <w:b w:val="false"/>
          <w:bCs w:val="false"/>
          <w:i w:val="false"/>
          <w:iCs w:val="false"/>
          <w:sz w:val="20"/>
          <w:szCs w:val="20"/>
        </w:rPr>
        <w:t xml:space="preserve"/>
      </w:r>
    </w:p>
    <w:p>
      <w:pPr>
        <w:pBdr>
          <w:top w:val="single" w:color="2E75B6" w:sz="4" w:space="8"/>
        </w:pBdr>
        <w:spacing w:before="400"/>
        <w:jc w:val="center"/>
      </w:pPr>
      <w:r>
        <w:rPr>
          <w:rFonts w:ascii="맑은 고딕" w:cs="맑은 고딕" w:eastAsia="맑은 고딕" w:hAnsi="맑은 고딕"/>
          <w:color w:val="999999"/>
          <w:sz w:val="20"/>
          <w:szCs w:val="20"/>
        </w:rPr>
        <w:t xml:space="preserve">— 이상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 </w:t>
    </w:r>
    <w:r>
      <w:rPr>
        <w:rFonts w:ascii="맑은 고딕" w:cs="맑은 고딕" w:eastAsia="맑은 고딕" w:hAnsi="맑은 고딕"/>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맑은 고딕" w:cs="맑은 고딕" w:eastAsia="맑은 고딕" w:hAnsi="맑은 고딕"/>
        <w:i/>
        <w:iCs/>
        <w:color w:val="999999"/>
        <w:sz w:val="16"/>
        <w:szCs w:val="16"/>
      </w:rPr>
      <w:t xml:space="preserve">법무법인(유한) 대륜  |  비공개  |  변호사-의뢰인 비밀특권 적용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6"/>
      <w:szCs w:val="26"/>
    </w:rPr>
  </w:style>
  <w:style w:type="paragraph" w:styleId="Heading3">
    <w:name w:val="Heading 3"/>
    <w:basedOn w:val="Normal"/>
    <w:next w:val="Normal"/>
    <w:qFormat/>
    <w:pPr>
      <w:spacing w:after="120" w:before="20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2026-04-11T22:00:56.769Z</dcterms:created>
  <dcterms:modified xsi:type="dcterms:W3CDTF">2026-04-11T22:00:56.770Z</dcterms:modified>
</cp:coreProperties>
</file>

<file path=docProps/custom.xml><?xml version="1.0" encoding="utf-8"?>
<Properties xmlns="http://schemas.openxmlformats.org/officeDocument/2006/custom-properties" xmlns:vt="http://schemas.openxmlformats.org/officeDocument/2006/docPropsVTypes"/>
</file>