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맑은 고딕" w:cs="맑은 고딕" w:eastAsia="맑은 고딕" w:hAnsi="맑은 고딕"/>
          <w:sz w:val="22"/>
          <w:szCs w:val="22"/>
        </w:rPr>
        <w:t xml:space="preserve"/>
      </w:r>
    </w:p>
    <w:p>
      <w:pPr>
        <w:spacing w:after="200"/>
        <w:jc w:val="center"/>
      </w:pPr>
      <w:r>
        <w:rPr>
          <w:rFonts w:ascii="맑은 고딕" w:cs="맑은 고딕" w:eastAsia="맑은 고딕" w:hAnsi="맑은 고딕"/>
          <w:b/>
          <w:bCs/>
          <w:sz w:val="44"/>
          <w:szCs w:val="44"/>
        </w:rPr>
        <w:t xml:space="preserve">손해배상 청구 전략서</w:t>
      </w:r>
    </w:p>
    <w:p>
      <w:pPr>
        <w:spacing w:after="600"/>
        <w:jc w:val="center"/>
      </w:pPr>
      <w:r>
        <w:rPr>
          <w:rFonts w:ascii="맑은 고딕" w:cs="맑은 고딕" w:eastAsia="맑은 고딕" w:hAnsi="맑은 고딕"/>
          <w:sz w:val="28"/>
          <w:szCs w:val="28"/>
        </w:rPr>
        <w:t xml:space="preserve">(채권자대위권에 기한 청구)</w:t>
      </w:r>
    </w:p>
    <w:p>
      <w:pPr>
        <w:spacing w:after="400"/>
      </w:pPr>
      <w:r>
        <w:rPr>
          <w:rFonts w:ascii="맑은 고딕" w:cs="맑은 고딕" w:eastAsia="맑은 고딕" w:hAnsi="맑은 고딕"/>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사 건 명</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법무법인 태율 공금횡령 피해회복</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고 소 인</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송명욱 (법무법인(유한) 대륜 소속)</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피고소인</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조대제 (사무장), 김상균 (변호사)</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대리인변호사</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송명욱, 이문용 (법무법인(유한) 대륜)</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작 성 일</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2026. 4. 12.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문서버전</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v2.1 (채권자대위권 프레임워크 + 수치 정정)</w:t>
            </w:r>
          </w:p>
        </w:tc>
      </w:tr>
    </w:tbl>
    <w:p>
      <w:pPr>
        <w:spacing w:after="800"/>
      </w:pPr>
      <w:r>
        <w:rPr>
          <w:rFonts w:ascii="맑은 고딕" w:cs="맑은 고딕" w:eastAsia="맑은 고딕" w:hAnsi="맑은 고딕"/>
          <w:sz w:val="22"/>
          <w:szCs w:val="22"/>
        </w:rPr>
        <w:t xml:space="preserve"/>
      </w:r>
    </w:p>
    <w:p>
      <w:pPr>
        <w:spacing w:after="80"/>
        <w:jc w:val="center"/>
      </w:pPr>
      <w:r>
        <w:rPr>
          <w:rFonts w:ascii="맑은 고딕" w:cs="맑은 고딕" w:eastAsia="맑은 고딕" w:hAnsi="맑은 고딕"/>
          <w:b/>
          <w:bCs/>
          <w:sz w:val="28"/>
          <w:szCs w:val="28"/>
        </w:rPr>
        <w:t xml:space="preserve">법무법인(유한) 대륜</w:t>
      </w:r>
    </w:p>
    <w:p>
      <w:pPr>
        <w:spacing w:after="120"/>
        <w:jc w:val="center"/>
      </w:pPr>
      <w:r>
        <w:rPr>
          <w:rFonts w:ascii="맑은 고딕" w:cs="맑은 고딕" w:eastAsia="맑은 고딕" w:hAnsi="맑은 고딕"/>
          <w:color w:val="FF0000"/>
          <w:sz w:val="18"/>
          <w:szCs w:val="18"/>
        </w:rPr>
        <w:t xml:space="preserve">CONFIDENTIAL / 변호사-의뢰인 특권 보호 대상</w:t>
      </w:r>
    </w:p>
    <w:p>
      <w:pPr>
        <w:pStyle w:val="Heading1"/>
        <w:pageBreakBefore/>
        <w:spacing w:after="120"/>
      </w:pPr>
      <w:r>
        <w:rPr>
          <w:rFonts w:ascii="맑은 고딕" w:cs="맑은 고딕" w:eastAsia="맑은 고딕" w:hAnsi="맑은 고딕"/>
          <w:sz w:val="22"/>
          <w:szCs w:val="22"/>
        </w:rPr>
        <w:t xml:space="preserve">제1장  사건 개요</w:t>
      </w:r>
    </w:p>
    <w:p>
      <w:pPr>
        <w:pStyle w:val="Heading2"/>
        <w:spacing w:after="120"/>
      </w:pPr>
      <w:r>
        <w:rPr>
          <w:rFonts w:ascii="맑은 고딕" w:cs="맑은 고딕" w:eastAsia="맑은 고딕" w:hAnsi="맑은 고딕"/>
          <w:sz w:val="22"/>
          <w:szCs w:val="22"/>
        </w:rPr>
        <w:t xml:space="preserve">1. 당사자 관계</w:t>
      </w:r>
    </w:p>
    <w:p>
      <w:pPr>
        <w:spacing w:after="120"/>
      </w:pPr>
      <w:r>
        <w:rPr>
          <w:rFonts w:ascii="맑은 고딕" w:cs="맑은 고딕" w:eastAsia="맑은 고딕" w:hAnsi="맑은 고딕"/>
          <w:sz w:val="22"/>
          <w:szCs w:val="22"/>
        </w:rPr>
        <w:t xml:space="preserve">고소인 송명욱은 법무법인 태율의 前 대표변호사로서, 법인 설립·운영에 핵심적 역할을 수행하였다. 피고소인 조대제(사무장)와 김상균(변호사)은 법인의 관리계좌를 이용하여 법인 자금을 조직적으로 횡령하였다.</w:t>
      </w:r>
    </w:p>
    <w:p>
      <w:pPr>
        <w:pStyle w:val="Heading2"/>
        <w:spacing w:after="120"/>
      </w:pPr>
      <w:r>
        <w:rPr>
          <w:rFonts w:ascii="맑은 고딕" w:cs="맑은 고딕" w:eastAsia="맑은 고딕" w:hAnsi="맑은 고딕"/>
          <w:sz w:val="22"/>
          <w:szCs w:val="22"/>
        </w:rPr>
        <w:t xml:space="preserve">2. 청구의 법적 구조 — 채권자대위권</w:t>
      </w:r>
    </w:p>
    <w:p>
      <w:pPr>
        <w:spacing w:after="120"/>
      </w:pPr>
      <w:r>
        <w:rPr>
          <w:rFonts w:ascii="맑은 고딕" w:cs="맑은 고딕" w:eastAsia="맑은 고딕" w:hAnsi="맑은 고딕"/>
          <w:b w:val="false"/>
          <w:bCs w:val="false"/>
          <w:sz w:val="22"/>
          <w:szCs w:val="22"/>
        </w:rPr>
        <w:t xml:space="preserve">본 청구는 민법 제404조 채권자대위권에 기한다. </w:t>
      </w:r>
      <w:r>
        <w:rPr>
          <w:rFonts w:ascii="맑은 고딕" w:cs="맑은 고딕" w:eastAsia="맑은 고딕" w:hAnsi="맑은 고딕"/>
          <w:b/>
          <w:bCs/>
          <w:sz w:val="22"/>
          <w:szCs w:val="22"/>
        </w:rPr>
        <w:t xml:space="preserve">송명욱은 법인의 채권자로서, 법인이 조대제·김상균에 대하여 가지는 횡령 손해배상채권을 대위행사한다.</w:t>
      </w:r>
    </w:p>
    <w:p>
      <w:pPr>
        <w:spacing w:after="60"/>
      </w:pPr>
      <w:r>
        <w:rPr>
          <w:rFonts w:ascii="맑은 고딕" w:cs="맑은 고딕" w:eastAsia="맑은 고딕" w:hAnsi="맑은 고딕"/>
          <w:b/>
          <w:bCs/>
          <w:sz w:val="22"/>
          <w:szCs w:val="22"/>
        </w:rPr>
        <w:t xml:space="preserve">채권자대위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00"/>
        <w:gridCol w:w="1000"/>
        <w:gridCol w:w="2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채권자 (송명욱)</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채무자 (법무법인 태율)</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제3채무자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피보전채권: 법인에 대한
분담금·수임료 채권</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대위행사</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횡령 손해배상채권
(약 2.98억원)</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이행청구</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김상균</w:t>
            </w:r>
          </w:p>
        </w:tc>
      </w:tr>
    </w:tbl>
    <w:p>
      <w:pPr>
        <w:spacing w:after="120"/>
      </w:pPr>
      <w:r>
        <w:rPr>
          <w:rFonts w:ascii="맑은 고딕" w:cs="맑은 고딕" w:eastAsia="맑은 고딕" w:hAnsi="맑은 고딕"/>
          <w:sz w:val="22"/>
          <w:szCs w:val="22"/>
        </w:rPr>
        <w:t xml:space="preserve"/>
      </w:r>
    </w:p>
    <w:p>
      <w:pPr>
        <w:pStyle w:val="Heading2"/>
        <w:spacing w:after="120"/>
      </w:pPr>
      <w:r>
        <w:rPr>
          <w:rFonts w:ascii="맑은 고딕" w:cs="맑은 고딕" w:eastAsia="맑은 고딕" w:hAnsi="맑은 고딕"/>
          <w:sz w:val="22"/>
          <w:szCs w:val="22"/>
        </w:rPr>
        <w:t xml:space="preserve">3. 핵심 논증: 장부의 존부와 횡령 성립</w:t>
      </w:r>
    </w:p>
    <w:p>
      <w:pPr>
        <w:spacing w:after="120"/>
      </w:pPr>
      <w:r>
        <w:rPr>
          <w:rFonts w:ascii="맑은 고딕" w:cs="맑은 고딕" w:eastAsia="맑은 고딕" w:hAnsi="맑은 고딕"/>
          <w:b/>
          <w:bCs/>
          <w:sz w:val="22"/>
          <w:szCs w:val="22"/>
        </w:rPr>
        <w:t xml:space="preserve">본 사건의 핵심은, 조대제·김상균의 가수금·대여금 거래에 관한 회계장부(거래처원장)가 존재하든 존재하지 않든, 횡령범죄의 성립에는 영향이 없다는 점이다.</w:t>
      </w:r>
    </w:p>
    <w:p>
      <w:pPr>
        <w:spacing w:after="120"/>
      </w:pPr>
      <w:r>
        <w:rPr>
          <w:rFonts w:ascii="맑은 고딕" w:cs="맑은 고딕" w:eastAsia="맑은 고딕" w:hAnsi="맑은 고딕"/>
          <w:sz w:val="22"/>
          <w:szCs w:val="22"/>
        </w:rPr>
        <w:t xml:space="preserve">가. 장부가 존재하는 경우: 장부상 기재된 가수금 채권이 실재하더라도, 정당한 절차(이사회 결의, 사원총회 결의 등) 없이 임의로 인출한 행위 자체가 횡령이다 (대구고법 2019노382 참조). 은행 거래내역상 "가수금반환", "대여금변제" 등 적요가 기재되어 있으나, 이에 대응하는 법인 내부 승인절차가 전무하다.</w:t>
      </w:r>
    </w:p>
    <w:p>
      <w:pPr>
        <w:spacing w:after="120"/>
      </w:pPr>
      <w:r>
        <w:rPr>
          <w:rFonts w:ascii="맑은 고딕" w:cs="맑은 고딕" w:eastAsia="맑은 고딕" w:hAnsi="맑은 고딕"/>
          <w:sz w:val="22"/>
          <w:szCs w:val="22"/>
        </w:rPr>
        <w:t xml:space="preserve">나. 장부가 존재하지 않는 경우: 조대제·김상균은 관련 민사소송에서 회계장부의 부존재를 진술한 바 있다. 장부가 없으면 가수금 채무의 실체 자체가 부정되므로, "가수금반환" 명목의 인출은 아무런 법적 근거 없는 법인 자금의 사적 유용이 된다. 대법원 2002. 1. 11. 선고 2000두3726 판결에 따라, 장부 미기재 금원은 전액 사외유출로 추정되고 반증책임은 법인(실질적으로 조대제·김상균)에게 있다.</w:t>
      </w:r>
    </w:p>
    <w:p>
      <w:pPr>
        <w:pStyle w:val="Heading1"/>
        <w:pageBreakBefore/>
        <w:spacing w:after="120"/>
      </w:pPr>
      <w:r>
        <w:rPr>
          <w:rFonts w:ascii="맑은 고딕" w:cs="맑은 고딕" w:eastAsia="맑은 고딕" w:hAnsi="맑은 고딕"/>
          <w:sz w:val="22"/>
          <w:szCs w:val="22"/>
        </w:rPr>
        <w:t xml:space="preserve">제2장  피보전채권의 산정</w:t>
      </w:r>
    </w:p>
    <w:p>
      <w:pPr>
        <w:pStyle w:val="Heading2"/>
        <w:spacing w:after="120"/>
      </w:pPr>
      <w:r>
        <w:rPr>
          <w:rFonts w:ascii="맑은 고딕" w:cs="맑은 고딕" w:eastAsia="맑은 고딕" w:hAnsi="맑은 고딕"/>
          <w:sz w:val="22"/>
          <w:szCs w:val="22"/>
        </w:rPr>
        <w:t xml:space="preserve">1. 산정 기준</w:t>
      </w:r>
    </w:p>
    <w:p>
      <w:pPr>
        <w:spacing w:after="120"/>
      </w:pPr>
      <w:r>
        <w:rPr>
          <w:rFonts w:ascii="맑은 고딕" w:cs="맑은 고딕" w:eastAsia="맑은 고딕" w:hAnsi="맑은 고딕"/>
          <w:sz w:val="22"/>
          <w:szCs w:val="22"/>
        </w:rPr>
        <w:t xml:space="preserve">송명욱이 채권자대위권을 행사할 수 있는 범위는 법인에 대한 피보전채권의 범위로 한정된다. 피보전채권은 다음 두 가지로 구성된다.</w:t>
      </w:r>
    </w:p>
    <w:p>
      <w:pPr>
        <w:pStyle w:val="Heading2"/>
        <w:spacing w:after="120"/>
      </w:pPr>
      <w:r>
        <w:rPr>
          <w:rFonts w:ascii="맑은 고딕" w:cs="맑은 고딕" w:eastAsia="맑은 고딕" w:hAnsi="맑은 고딕"/>
          <w:sz w:val="22"/>
          <w:szCs w:val="22"/>
        </w:rPr>
        <w:t xml:space="preserve">2. 제1유형: 관리계좌→메인계좌 이체금 (확정 채권)</w:t>
      </w:r>
    </w:p>
    <w:p>
      <w:pPr>
        <w:spacing w:after="120"/>
      </w:pPr>
      <w:r>
        <w:rPr>
          <w:rFonts w:ascii="맑은 고딕" w:cs="맑은 고딕" w:eastAsia="맑은 고딕" w:hAnsi="맑은 고딕"/>
          <w:sz w:val="22"/>
          <w:szCs w:val="22"/>
        </w:rPr>
        <w:t xml:space="preserve">송명욱 관리계좌(22991002022504)에서 법인 메인계좌(22991001907204)로 이체한 금원 전액이 피보전채권을 구성한다. 법인으로부터 실질적으로 돌려받은 금원이 없거나 미미하기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000"/>
        <w:gridCol w:w="1800"/>
        <w:gridCol w:w="1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항목</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기간</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횟수</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금액(원)</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비고</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분담금 (월 납입)</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2016.10 ~ 2018.10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24회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79,305,742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부가세·법인세</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2017.01 ~ 2018.10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9회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33,554,561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4대보험료</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2016.11 ~ 2018.10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16회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18,528,915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변호사팀 비용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2016.11 ~ 2017.05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7회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5,289,245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대여금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2016.10.11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1회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24,800,000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기타 (회식비 등)</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2017.01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4회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1,291,468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  계</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61건</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right"/>
            </w:pPr>
            <w:r>
              <w:rPr>
                <w:rFonts w:ascii="맑은 고딕" w:cs="맑은 고딕" w:eastAsia="맑은 고딕" w:hAnsi="맑은 고딕"/>
                <w:b/>
                <w:bCs/>
                <w:sz w:val="20"/>
                <w:szCs w:val="20"/>
              </w:rPr>
              <w:t xml:space="preserve">160,769,931</w:t>
            </w:r>
          </w:p>
        </w:tc>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r>
    </w:tbl>
    <w:p>
      <w:pPr>
        <w:spacing w:after="120"/>
      </w:pPr>
      <w:r>
        <w:rPr>
          <w:rFonts w:ascii="맑은 고딕" w:cs="맑은 고딕" w:eastAsia="맑은 고딕" w:hAnsi="맑은 고딕"/>
          <w:sz w:val="22"/>
          <w:szCs w:val="22"/>
        </w:rPr>
        <w:t xml:space="preserve"/>
      </w:r>
    </w:p>
    <w:p>
      <w:pPr>
        <w:spacing w:after="120"/>
      </w:pPr>
      <w:r>
        <w:rPr>
          <w:rFonts w:ascii="맑은 고딕" w:cs="맑은 고딕" w:eastAsia="맑은 고딕" w:hAnsi="맑은 고딕"/>
          <w:sz w:val="22"/>
          <w:szCs w:val="22"/>
        </w:rPr>
        <w:t xml:space="preserve">※ 가지급금 70,000,500원(2017.12.28)에 대하여: </w:t>
      </w:r>
      <w:r>
        <w:rPr>
          <w:rFonts w:ascii="맑은 고딕" w:cs="맑은 고딕" w:eastAsia="맑은 고딕" w:hAnsi="맑은 고딕"/>
          <w:b/>
          <w:bCs/>
          <w:sz w:val="22"/>
          <w:szCs w:val="22"/>
        </w:rPr>
        <w:t xml:space="preserve">이는 상대방의 항변사항이므로 우리 측이 선제적으로 주장하거나 공제할 필요가 없다.</w:t>
      </w:r>
      <w:r>
        <w:rPr>
          <w:rFonts w:ascii="맑은 고딕" w:cs="맑은 고딕" w:eastAsia="맑은 고딕" w:hAnsi="맑은 고딕"/>
          <w:sz w:val="22"/>
          <w:szCs w:val="22"/>
        </w:rPr>
        <w:t xml:space="preserve"> 상대방이 상계 항변 시, 해당 가지급금의 실질이 수임료 분배금에 대한 허위 회계처리였음을 반증한다.</w:t>
      </w:r>
    </w:p>
    <w:p>
      <w:pPr>
        <w:pStyle w:val="Heading2"/>
        <w:spacing w:after="120"/>
      </w:pPr>
      <w:r>
        <w:rPr>
          <w:rFonts w:ascii="맑은 고딕" w:cs="맑은 고딕" w:eastAsia="맑은 고딕" w:hAnsi="맑은 고딕"/>
          <w:sz w:val="22"/>
          <w:szCs w:val="22"/>
        </w:rPr>
        <w:t xml:space="preserve">3. 제2유형: 단기차입금 잔액 (수임료 미정산 채권)</w:t>
      </w:r>
    </w:p>
    <w:p>
      <w:pPr>
        <w:spacing w:after="120"/>
      </w:pPr>
      <w:r>
        <w:rPr>
          <w:rFonts w:ascii="맑은 고딕" w:cs="맑은 고딕" w:eastAsia="맑은 고딕" w:hAnsi="맑은 고딕"/>
          <w:sz w:val="22"/>
          <w:szCs w:val="22"/>
        </w:rPr>
        <w:t xml:space="preserve">수임금액명세서상 송명욱 명의 총 수임료는 458,007,581원이다 (2016년 4분기 ~ 2018년 4분기, 754건). 구두약정에 따라 전액이 송명욱에게 분배되어야 하나, 법인은 2018. 1월경 수임료 분배금을 "가지급금"으로 허위 처리한 후 이를 "단기차입금"으로 대체하였다. 이 과정에서 발생한 최종 단기차입금 합계잔액 약 109,000,000원(1억 900만원 상당)이 미정산 수임료 채권으로서 피보전채권을 구성한다.</w:t>
      </w:r>
    </w:p>
    <w:p>
      <w:pPr>
        <w:spacing w:after="12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b/>
          <w:bCs/>
          <w:sz w:val="22"/>
          <w:szCs w:val="22"/>
        </w:rPr>
        <w:t xml:space="preserve">수임금액명세서 분기별 내역:</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분기</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건수</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금액(원)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2016-4분기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62건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54,765,000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2017-1분기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100건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73,337,109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2017-2분기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163건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111,501,216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2017-3분기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132건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78,664,325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2017-4분기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114건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65,944,731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2018-1분기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39건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18,373,200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2018-2분기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64건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29,395,100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2018-3분기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12,008,600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2018-4분기</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30건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14,018,300</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합계</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754건</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right"/>
            </w:pPr>
            <w:r>
              <w:rPr>
                <w:rFonts w:ascii="맑은 고딕" w:cs="맑은 고딕" w:eastAsia="맑은 고딕" w:hAnsi="맑은 고딕"/>
                <w:b/>
                <w:bCs/>
                <w:sz w:val="20"/>
                <w:szCs w:val="20"/>
              </w:rPr>
              <w:t xml:space="preserve">458,007,581</w:t>
            </w:r>
          </w:p>
        </w:tc>
      </w:tr>
    </w:tbl>
    <w:p>
      <w:pPr>
        <w:pStyle w:val="Heading2"/>
        <w:spacing w:after="120"/>
      </w:pPr>
      <w:r>
        <w:rPr>
          <w:rFonts w:ascii="맑은 고딕" w:cs="맑은 고딕" w:eastAsia="맑은 고딕" w:hAnsi="맑은 고딕"/>
          <w:sz w:val="22"/>
          <w:szCs w:val="22"/>
        </w:rPr>
        <w:t xml:space="preserve">4. 허위 회계처리 구조</w:t>
      </w:r>
    </w:p>
    <w:p>
      <w:pPr>
        <w:spacing w:after="60"/>
      </w:pPr>
      <w:r>
        <w:rPr>
          <w:rFonts w:ascii="맑은 고딕" w:cs="맑은 고딕" w:eastAsia="맑은 고딕" w:hAnsi="맑은 고딕"/>
          <w:sz w:val="22"/>
          <w:szCs w:val="22"/>
        </w:rPr>
        <w:t xml:space="preserve">조대제·김상균은 다음과 같은 방식으로 송명욱의 수임료를 법인에 흡수하였다:</w:t>
      </w:r>
    </w:p>
    <w:p>
      <w:pPr>
        <w:spacing w:after="120"/>
        <w:ind w:left="720"/>
      </w:pPr>
      <w:r>
        <w:rPr>
          <w:rFonts w:ascii="맑은 고딕" w:cs="맑은 고딕" w:eastAsia="맑은 고딕" w:hAnsi="맑은 고딕"/>
          <w:b/>
          <w:bCs/>
          <w:sz w:val="22"/>
          <w:szCs w:val="22"/>
        </w:rPr>
        <w:t xml:space="preserve">수임료 발생 → 송명욱 귀속(구두약정) → 법인이 "가지급금" 명목으로 허위 회계처리 → 가지급금을 "단기차입금"으로 대체 → 송명욱에게 "분담금" 명목으로 상환 강요</w:t>
      </w:r>
    </w:p>
    <w:p>
      <w:pPr>
        <w:spacing w:after="120"/>
      </w:pPr>
      <w:r>
        <w:rPr>
          <w:rFonts w:ascii="맑은 고딕" w:cs="맑은 고딕" w:eastAsia="맑은 고딕" w:hAnsi="맑은 고딕"/>
          <w:sz w:val="22"/>
          <w:szCs w:val="22"/>
        </w:rPr>
        <w:t xml:space="preserve">이 구조에 의하면, 분담금 등 504→204 이체 160,769,931원 전액이 부당이득에 해당한다. 수임료를 가지급금으로 허위 기재한 뒤 이를 다시 갚게 한 것이므로, 실질적으로 이중 착취이다.</w:t>
      </w:r>
    </w:p>
    <w:p>
      <w:pPr>
        <w:pStyle w:val="Heading2"/>
        <w:spacing w:after="120"/>
      </w:pPr>
      <w:r>
        <w:rPr>
          <w:rFonts w:ascii="맑은 고딕" w:cs="맑은 고딕" w:eastAsia="맑은 고딕" w:hAnsi="맑은 고딕"/>
          <w:sz w:val="22"/>
          <w:szCs w:val="22"/>
        </w:rPr>
        <w:t xml:space="preserve">5. 피보전채권 종합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채권 유형</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금액</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성격</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504→204 이체금 (확정)</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160,769,931원</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부당이득반환</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단기차입금 잔액 (수임료 미정산)</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약 109,000,000원</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약정위반 채무불이행</w:t>
            </w:r>
          </w:p>
        </w:tc>
      </w:tr>
      <w:tr>
        <w:tc>
          <w:tcPr>
            <w:tcW w:type="dxa" w:w="4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합계 (피보전채권 상한)</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약 269,769,931원</w:t>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r>
      <w:tr>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횡령 채권 (대위행사 대상)</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340,043,884원</w:t>
            </w:r>
          </w:p>
        </w:tc>
        <w:tc>
          <w:tcPr>
            <w:tcW w:type="dxa" w:w="23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불법행위 손해배상</w:t>
            </w:r>
          </w:p>
        </w:tc>
      </w:tr>
    </w:tbl>
    <w:p>
      <w:pPr>
        <w:spacing w:after="120"/>
      </w:pPr>
      <w:r>
        <w:rPr>
          <w:rFonts w:ascii="맑은 고딕" w:cs="맑은 고딕" w:eastAsia="맑은 고딕" w:hAnsi="맑은 고딕"/>
          <w:sz w:val="22"/>
          <w:szCs w:val="22"/>
        </w:rPr>
        <w:t xml:space="preserve"/>
      </w:r>
    </w:p>
    <w:p>
      <w:pPr>
        <w:spacing w:after="120"/>
      </w:pPr>
      <w:r>
        <w:rPr>
          <w:rFonts w:ascii="맑은 고딕" w:cs="맑은 고딕" w:eastAsia="맑은 고딕" w:hAnsi="맑은 고딕"/>
          <w:sz w:val="22"/>
          <w:szCs w:val="22"/>
        </w:rPr>
        <w:t xml:space="preserve">피보전채권(약 269,769,931원) &lt; 횡령 채권(340,043,884원)이므로, </w:t>
      </w:r>
      <w:r>
        <w:rPr>
          <w:rFonts w:ascii="맑은 고딕" w:cs="맑은 고딕" w:eastAsia="맑은 고딕" w:hAnsi="맑은 고딕"/>
          <w:b/>
          <w:bCs/>
          <w:sz w:val="22"/>
          <w:szCs w:val="22"/>
        </w:rPr>
        <w:t xml:space="preserve">피보전채권 범위 내에서 대위행사한다.</w:t>
      </w:r>
      <w:r>
        <w:rPr>
          <w:rFonts w:ascii="맑은 고딕" w:cs="맑은 고딕" w:eastAsia="맑은 고딕" w:hAnsi="맑은 고딕"/>
          <w:sz w:val="22"/>
          <w:szCs w:val="22"/>
        </w:rPr>
        <w:t xml:space="preserve"> 다만 단기차입금 잔액이 정확히 확정되면 피보전채권 상한이 조정될 수 있다.</w:t>
      </w:r>
    </w:p>
    <w:p>
      <w:pPr>
        <w:pStyle w:val="Heading1"/>
        <w:pageBreakBefore/>
        <w:spacing w:after="120"/>
      </w:pPr>
      <w:r>
        <w:rPr>
          <w:rFonts w:ascii="맑은 고딕" w:cs="맑은 고딕" w:eastAsia="맑은 고딕" w:hAnsi="맑은 고딕"/>
          <w:sz w:val="22"/>
          <w:szCs w:val="22"/>
        </w:rPr>
        <w:t xml:space="preserve">제3장  횡령 피해 구조 및 금액</w:t>
      </w:r>
    </w:p>
    <w:p>
      <w:pPr>
        <w:pStyle w:val="Heading2"/>
        <w:spacing w:after="120"/>
      </w:pPr>
      <w:r>
        <w:rPr>
          <w:rFonts w:ascii="맑은 고딕" w:cs="맑은 고딕" w:eastAsia="맑은 고딕" w:hAnsi="맑은 고딕"/>
          <w:sz w:val="22"/>
          <w:szCs w:val="22"/>
        </w:rPr>
        <w:t xml:space="preserve">1. 3단계 자금세탁 구조</w:t>
      </w:r>
    </w:p>
    <w:p>
      <w:pPr>
        <w:spacing w:after="120"/>
      </w:pPr>
      <w:r>
        <w:rPr>
          <w:rFonts w:ascii="맑은 고딕" w:cs="맑은 고딕" w:eastAsia="맑은 고딕" w:hAnsi="맑은 고딕"/>
          <w:sz w:val="22"/>
          <w:szCs w:val="22"/>
        </w:rPr>
        <w:t xml:space="preserve">1단계(자금이동): 메인계좌(907204) → 관리계좌(751404, 951104) 약 403,000,000원 이체</w:t>
      </w:r>
    </w:p>
    <w:p>
      <w:pPr>
        <w:spacing w:after="120"/>
      </w:pPr>
      <w:r>
        <w:rPr>
          <w:rFonts w:ascii="맑은 고딕" w:cs="맑은 고딕" w:eastAsia="맑은 고딕" w:hAnsi="맑은 고딕"/>
          <w:sz w:val="22"/>
          <w:szCs w:val="22"/>
        </w:rPr>
        <w:t xml:space="preserve">2단계(횡령): 관리계좌에서 가수금반환·차량리스·유흥·ATM 현금인출 명목으로 약 340,043,884원 사적 유용</w:t>
      </w:r>
    </w:p>
    <w:p>
      <w:pPr>
        <w:spacing w:after="120"/>
      </w:pPr>
      <w:r>
        <w:rPr>
          <w:rFonts w:ascii="맑은 고딕" w:cs="맑은 고딕" w:eastAsia="맑은 고딕" w:hAnsi="맑은 고딕"/>
          <w:sz w:val="22"/>
          <w:szCs w:val="22"/>
        </w:rPr>
        <w:t xml:space="preserve">3단계(은닉): 회계장부 미작성으로 자금흐름 은닉</w:t>
      </w:r>
    </w:p>
    <w:p>
      <w:pPr>
        <w:pStyle w:val="Heading2"/>
        <w:spacing w:after="120"/>
      </w:pPr>
      <w:r>
        <w:rPr>
          <w:rFonts w:ascii="맑은 고딕" w:cs="맑은 고딕" w:eastAsia="맑은 고딕" w:hAnsi="맑은 고딕"/>
          <w:sz w:val="22"/>
          <w:szCs w:val="22"/>
        </w:rPr>
        <w:t xml:space="preserve">2. 횡령 유형별 내역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2000"/>
        <w:gridCol w:w="2260"/>
      </w:tblGrid>
      <w:t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유형</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내용</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피고소인/건수</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금액(원)</w:t>
            </w:r>
          </w:p>
        </w:tc>
        <w:tc>
          <w:tcPr>
            <w:tcW w:type="dxa" w:w="2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특징</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가수금·대여금 유용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13건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46,600,000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개인 계좌 송금</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가수금·대여금 유용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김상균 14건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94,805,860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개인 계좌 송금</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차량리스비용 유용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22건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33,265,672</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NH캐피탈</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차량리스비용 유용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김상균 25건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61,507,148</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KB캐피탈</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유흥업소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46건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30,166,000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심야 체크카드</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유흥업소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김상균 35건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22,380,600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심야 체크카드</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대리운전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110건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2,064,120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유흥 후 귀가</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대리운전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김상균 378건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7,485,780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유흥 후 귀가</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ATM 현금인출</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조대제·김상균</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41,768,704</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관리계좌 현금 인출</w:t>
            </w:r>
          </w:p>
        </w:tc>
      </w:tr>
      <w:tr>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합계</w:t>
            </w:r>
          </w:p>
        </w:tc>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jc w:val="right"/>
            </w:pPr>
            <w:r>
              <w:rPr>
                <w:rFonts w:ascii="맑은 고딕" w:cs="맑은 고딕" w:eastAsia="맑은 고딕" w:hAnsi="맑은 고딕"/>
                <w:b/>
                <w:bCs/>
                <w:sz w:val="20"/>
                <w:szCs w:val="20"/>
              </w:rPr>
              <w:t xml:space="preserve">340,043,884</w:t>
            </w:r>
          </w:p>
        </w:tc>
        <w:tc>
          <w:tcPr>
            <w:tcW w:type="dxa" w:w="22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r>
    </w:tbl>
    <w:p>
      <w:pPr>
        <w:spacing w:after="120"/>
      </w:pPr>
      <w:r>
        <w:rPr>
          <w:rFonts w:ascii="맑은 고딕" w:cs="맑은 고딕" w:eastAsia="맑은 고딕" w:hAnsi="맑은 고딕"/>
          <w:sz w:val="22"/>
          <w:szCs w:val="22"/>
        </w:rPr>
        <w:t xml:space="preserve"/>
      </w:r>
    </w:p>
    <w:p>
      <w:pPr>
        <w:spacing w:after="120"/>
      </w:pPr>
      <w:r>
        <w:rPr>
          <w:rFonts w:ascii="맑은 고딕" w:cs="맑은 고딕" w:eastAsia="맑은 고딕" w:hAnsi="맑은 고딕"/>
          <w:sz w:val="22"/>
          <w:szCs w:val="22"/>
        </w:rPr>
        <w:t xml:space="preserve">※ 유형5(ATM 현금인출) 41,768,704원은 기존 범죄일람표(총괄 298,275,180원)에 미포함된 금액으로, 별도 범죄일람표 작성이 필요하다. </w:t>
      </w:r>
      <w:r>
        <w:rPr>
          <w:rFonts w:ascii="맑은 고딕" w:cs="맑은 고딕" w:eastAsia="맑은 고딕" w:hAnsi="맑은 고딕"/>
          <w:b/>
          <w:bCs/>
          <w:sz w:val="22"/>
          <w:szCs w:val="22"/>
        </w:rPr>
        <w:t xml:space="preserve">확정 피해총액은 340,043,884원이다.</w:t>
      </w:r>
    </w:p>
    <w:p>
      <w:pPr>
        <w:pStyle w:val="Heading1"/>
        <w:pageBreakBefore/>
        <w:spacing w:after="120"/>
      </w:pPr>
      <w:r>
        <w:rPr>
          <w:rFonts w:ascii="맑은 고딕" w:cs="맑은 고딕" w:eastAsia="맑은 고딕" w:hAnsi="맑은 고딕"/>
          <w:sz w:val="22"/>
          <w:szCs w:val="22"/>
        </w:rPr>
        <w:t xml:space="preserve">제4장  유형1 가수금·대여금 유용 상세 분석 및 증거확보 전략</w:t>
      </w:r>
    </w:p>
    <w:p>
      <w:pPr>
        <w:pStyle w:val="Heading2"/>
        <w:spacing w:after="120"/>
      </w:pPr>
      <w:r>
        <w:rPr>
          <w:rFonts w:ascii="맑은 고딕" w:cs="맑은 고딕" w:eastAsia="맑은 고딕" w:hAnsi="맑은 고딕"/>
          <w:sz w:val="22"/>
          <w:szCs w:val="22"/>
        </w:rPr>
        <w:t xml:space="preserve">1. 유형1 거래의 핵심 쟁점</w:t>
      </w:r>
    </w:p>
    <w:p>
      <w:pPr>
        <w:spacing w:after="120"/>
      </w:pPr>
      <w:r>
        <w:rPr>
          <w:rFonts w:ascii="맑은 고딕" w:cs="맑은 고딕" w:eastAsia="맑은 고딕" w:hAnsi="맑은 고딕"/>
          <w:sz w:val="22"/>
          <w:szCs w:val="22"/>
        </w:rPr>
        <w:t xml:space="preserve">유형1(가수금·대여금 유용)은 총 27건, 141,405,860원으로 횡령 전체(340,043,884원)의 41.6%를 차지하는 최대 단일 유형이다. 관리계좌에서 조대제·김상균의 개인 계좌로 "가수금반환" 또는 "대여금반환" 명목으로 송금되었으나, 이에 대응하는 법인 내부 승인이나 회계처리가 없다.</w:t>
      </w:r>
    </w:p>
    <w:p>
      <w:pPr>
        <w:pStyle w:val="Heading2"/>
        <w:spacing w:after="120"/>
      </w:pPr>
      <w:r>
        <w:rPr>
          <w:rFonts w:ascii="맑은 고딕" w:cs="맑은 고딕" w:eastAsia="맑은 고딕" w:hAnsi="맑은 고딕"/>
          <w:sz w:val="22"/>
          <w:szCs w:val="22"/>
        </w:rPr>
        <w:t xml:space="preserve">2. 문서제출명령 불채택 경위와 대응</w:t>
      </w:r>
    </w:p>
    <w:p>
      <w:pPr>
        <w:spacing w:after="120"/>
      </w:pPr>
      <w:r>
        <w:rPr>
          <w:rFonts w:ascii="맑은 고딕" w:cs="맑은 고딕" w:eastAsia="맑은 고딕" w:hAnsi="맑은 고딕"/>
          <w:sz w:val="22"/>
          <w:szCs w:val="22"/>
        </w:rPr>
        <w:t xml:space="preserve">송명욱은 관련 민사소송에서 조대제·김상균의 가수금·가지급금 거래처원장에 대하여 수차례 문서제출명령을 신청하였으나, 법원은 "문서의 존재 및 소지에 대한 입증책임은 신청인에게 있다"는 사유로 불채택하였다 (대법원 1995. 5. 3. 선고 95마415 결정; 대법원 2005. 7. 11. 선고 2005마259 결정; 대법원 2008. 4. 14. 선고 2007마725 결정 참조).</w:t>
      </w:r>
    </w:p>
    <w:p>
      <w:pPr>
        <w:pStyle w:val="Heading2"/>
        <w:spacing w:after="120"/>
      </w:pPr>
      <w:r>
        <w:rPr>
          <w:rFonts w:ascii="맑은 고딕" w:cs="맑은 고딕" w:eastAsia="맑은 고딕" w:hAnsi="맑은 고딕"/>
          <w:sz w:val="22"/>
          <w:szCs w:val="22"/>
        </w:rPr>
        <w:t xml:space="preserve">3. 장부 존부에 따른 이중 논증 구조</w:t>
      </w:r>
    </w:p>
    <w:p>
      <w:pPr>
        <w:spacing w:after="120"/>
      </w:pPr>
      <w:r>
        <w:rPr>
          <w:rFonts w:ascii="맑은 고딕" w:cs="맑은 고딕" w:eastAsia="맑은 고딕" w:hAnsi="맑은 고딕"/>
          <w:b/>
          <w:bCs/>
          <w:sz w:val="22"/>
          <w:szCs w:val="22"/>
        </w:rPr>
        <w:t xml:space="preserve">가. 장부 존재 시 → </w:t>
      </w:r>
      <w:r>
        <w:rPr>
          <w:rFonts w:ascii="맑은 고딕" w:cs="맑은 고딕" w:eastAsia="맑은 고딕" w:hAnsi="맑은 고딕"/>
          <w:sz w:val="22"/>
          <w:szCs w:val="22"/>
        </w:rPr>
        <w:t xml:space="preserve">가수금 채권이 있더라도 정당한 절차 없이 임의 인출하면 횡령 성립. 거래처원장의 존재는 오히려 인출 사실을 확인하는 증거가 됨.</w:t>
      </w:r>
    </w:p>
    <w:p>
      <w:pPr>
        <w:spacing w:after="120"/>
      </w:pPr>
      <w:r>
        <w:rPr>
          <w:rFonts w:ascii="맑은 고딕" w:cs="맑은 고딕" w:eastAsia="맑은 고딕" w:hAnsi="맑은 고딕"/>
          <w:b/>
          <w:bCs/>
          <w:sz w:val="22"/>
          <w:szCs w:val="22"/>
        </w:rPr>
        <w:t xml:space="preserve">나. 장부 부존재 시 → </w:t>
      </w:r>
      <w:r>
        <w:rPr>
          <w:rFonts w:ascii="맑은 고딕" w:cs="맑은 고딕" w:eastAsia="맑은 고딕" w:hAnsi="맑은 고딕"/>
          <w:sz w:val="22"/>
          <w:szCs w:val="22"/>
        </w:rPr>
        <w:t xml:space="preserve">재무상태표에 가수금이 기재되어 있음에도 거래처원장이 없다면, 해당 가수금 채무는 실제 거래에 기반하지 않은 허위·가공의 채무임이 추정됨. "가수금반환" 명목 인출은 법적 근거 없는 사적 유용.</w:t>
      </w:r>
    </w:p>
    <w:p>
      <w:pPr>
        <w:spacing w:after="120"/>
      </w:pPr>
      <w:r>
        <w:rPr>
          <w:rFonts w:ascii="맑은 고딕" w:cs="맑은 고딕" w:eastAsia="맑은 고딕" w:hAnsi="맑은 고딕"/>
          <w:b/>
          <w:bCs/>
          <w:sz w:val="22"/>
          <w:szCs w:val="22"/>
        </w:rPr>
        <w:t xml:space="preserve">다. 어느 경우든 → </w:t>
      </w:r>
      <w:r>
        <w:rPr>
          <w:rFonts w:ascii="맑은 고딕" w:cs="맑은 고딕" w:eastAsia="맑은 고딕" w:hAnsi="맑은 고딕"/>
          <w:sz w:val="22"/>
          <w:szCs w:val="22"/>
        </w:rPr>
        <w:t xml:space="preserve">은행 거래내역이라는 객관적 증거가 존재하므로, 장부의 존부와 무관하게 자금 이탈 자체는 입증됨. 장부의 부존재는 조세범처벌법 제10조(장부 기록·보존의무 위반) 및 제3조(조세포탈)의 독립적 위법행위를 구성.</w:t>
      </w:r>
    </w:p>
    <w:p>
      <w:pPr>
        <w:pStyle w:val="Heading2"/>
        <w:spacing w:after="120"/>
      </w:pPr>
      <w:r>
        <w:rPr>
          <w:rFonts w:ascii="맑은 고딕" w:cs="맑은 고딕" w:eastAsia="맑은 고딕" w:hAnsi="맑은 고딕"/>
          <w:sz w:val="22"/>
          <w:szCs w:val="22"/>
        </w:rPr>
        <w:t xml:space="preserve">4. 금융거래정보 제출명령 신청 전략</w:t>
      </w:r>
    </w:p>
    <w:p>
      <w:pPr>
        <w:spacing w:after="120"/>
      </w:pPr>
      <w:r>
        <w:rPr>
          <w:rFonts w:ascii="맑은 고딕" w:cs="맑은 고딕" w:eastAsia="맑은 고딕" w:hAnsi="맑은 고딕"/>
          <w:b/>
          <w:bCs/>
          <w:sz w:val="22"/>
          <w:szCs w:val="22"/>
        </w:rPr>
        <w:t xml:space="preserve">문서제출명령이 불채택된 상황에서, 유형1 거래의 자금 행방을 추적하기 위한 핵심 증거확보 수단은 금융거래정보 제출명령(금융실명거래 및 비밀보장에 관한 법률 제4조 제1항 단서)이다.</w:t>
      </w:r>
    </w:p>
    <w:p>
      <w:pPr>
        <w:spacing w:after="60"/>
      </w:pPr>
      <w:r>
        <w:rPr>
          <w:rFonts w:ascii="맑은 고딕" w:cs="맑은 고딕" w:eastAsia="맑은 고딕" w:hAnsi="맑은 고딕"/>
          <w:b/>
          <w:bCs/>
          <w:sz w:val="22"/>
          <w:szCs w:val="22"/>
        </w:rPr>
        <w:t xml:space="preserve">가. 신청 대상 계좌</w:t>
      </w:r>
    </w:p>
    <w:p>
      <w:pPr>
        <w:spacing w:after="120"/>
      </w:pPr>
      <w:r>
        <w:rPr>
          <w:rFonts w:ascii="맑은 고딕" w:cs="맑은 고딕" w:eastAsia="맑은 고딕" w:hAnsi="맑은 고딕"/>
          <w:sz w:val="22"/>
          <w:szCs w:val="22"/>
        </w:rPr>
        <w:t xml:space="preserve">유형1 거래의 수취계좌로서, 조대제·김상균의 개인 계좌에 대한 금융거래정보 제출을 구한다:</w:t>
      </w:r>
    </w:p>
    <w:p>
      <w:pPr>
        <w:spacing w:after="120"/>
        <w:ind w:left="720"/>
      </w:pPr>
      <w:r>
        <w:rPr>
          <w:rFonts w:ascii="맑은 고딕" w:cs="맑은 고딕" w:eastAsia="맑은 고딕" w:hAnsi="맑은 고딕"/>
          <w:b/>
          <w:bCs/>
          <w:sz w:val="22"/>
          <w:szCs w:val="22"/>
        </w:rPr>
        <w:t xml:space="preserve">(1) 조대제 수취계좌</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230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은행</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계좌번호</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건수</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합계금액</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243-910297-94207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14,500,000원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229-910019-23104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5,000,000원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150-910131-75307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8건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20,600,000원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205-910142-27907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6,500,000원</w:t>
            </w:r>
          </w:p>
        </w:tc>
      </w:tr>
    </w:tbl>
    <w:p>
      <w:pPr>
        <w:spacing w:after="120"/>
      </w:pPr>
      <w:r>
        <w:rPr>
          <w:rFonts w:ascii="맑은 고딕" w:cs="맑은 고딕" w:eastAsia="맑은 고딕" w:hAnsi="맑은 고딕"/>
          <w:sz w:val="22"/>
          <w:szCs w:val="22"/>
        </w:rPr>
        <w:t xml:space="preserve"/>
      </w:r>
    </w:p>
    <w:p>
      <w:pPr>
        <w:spacing w:after="120"/>
        <w:ind w:left="720"/>
      </w:pPr>
      <w:r>
        <w:rPr>
          <w:rFonts w:ascii="맑은 고딕" w:cs="맑은 고딕" w:eastAsia="맑은 고딕" w:hAnsi="맑은 고딕"/>
          <w:b/>
          <w:bCs/>
          <w:sz w:val="22"/>
          <w:szCs w:val="22"/>
        </w:rPr>
        <w:t xml:space="preserve">(2) 김상균 수취계좌</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230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은행</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계좌번호</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건수</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합계금액</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229-910019-23104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4,887,000원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243-910297-28707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8건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64,916,360원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국민은행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848-801000-12716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25,002,500원</w:t>
            </w:r>
          </w:p>
        </w:tc>
      </w:tr>
    </w:tbl>
    <w:p>
      <w:pPr>
        <w:spacing w:after="12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b/>
          <w:bCs/>
          <w:sz w:val="22"/>
          <w:szCs w:val="22"/>
        </w:rPr>
        <w:t xml:space="preserve">나. 신청 취지</w:t>
      </w:r>
    </w:p>
    <w:p>
      <w:pPr>
        <w:spacing w:after="120"/>
      </w:pPr>
      <w:r>
        <w:rPr>
          <w:rFonts w:ascii="맑은 고딕" w:cs="맑은 고딕" w:eastAsia="맑은 고딕" w:hAnsi="맑은 고딕"/>
          <w:sz w:val="22"/>
          <w:szCs w:val="22"/>
        </w:rPr>
        <w:t xml:space="preserve">위 각 계좌에 대하여 거래기간 2016. 10. 1.부터 2019. 3. 31.까지의 입출금 거래내역 일체의 제출을 명하여 주시기 바랍니다.</w:t>
      </w:r>
    </w:p>
    <w:p>
      <w:pPr>
        <w:spacing w:after="60"/>
      </w:pPr>
      <w:r>
        <w:rPr>
          <w:rFonts w:ascii="맑은 고딕" w:cs="맑은 고딕" w:eastAsia="맑은 고딕" w:hAnsi="맑은 고딕"/>
          <w:b/>
          <w:bCs/>
          <w:sz w:val="22"/>
          <w:szCs w:val="22"/>
        </w:rPr>
        <w:t xml:space="preserve">다. 필요성</w:t>
      </w:r>
    </w:p>
    <w:p>
      <w:pPr>
        <w:spacing w:after="120"/>
      </w:pPr>
      <w:r>
        <w:rPr>
          <w:rFonts w:ascii="맑은 고딕" w:cs="맑은 고딕" w:eastAsia="맑은 고딕" w:hAnsi="맑은 고딕"/>
          <w:sz w:val="22"/>
          <w:szCs w:val="22"/>
        </w:rPr>
        <w:t xml:space="preserve">(1) 법인 관리계좌에서 위 각 수취계좌로 "가수금반환", "대여금반환" 등 명목으로 총 141,405,860원이 송금된 사실은 법인 계좌 거래내역으로 확인되나, 해당 금원의 최종 사용처를 확인하기 위해서는 수취계좌의 거래내역이 필요합니다.</w:t>
      </w:r>
    </w:p>
    <w:p>
      <w:pPr>
        <w:spacing w:after="120"/>
      </w:pPr>
      <w:r>
        <w:rPr>
          <w:rFonts w:ascii="맑은 고딕" w:cs="맑은 고딕" w:eastAsia="맑은 고딕" w:hAnsi="맑은 고딕"/>
          <w:sz w:val="22"/>
          <w:szCs w:val="22"/>
        </w:rPr>
        <w:t xml:space="preserve">(2) 조대제·김상균은 관련 소송에서 가수금 거래처원장의 부존재를 사실상 인정한 바 있어, 문서제출명령으로는 증거를 확보할 수 없으므로 금융거래정보 제출명령이 유일한 증거확보 수단입니다.</w:t>
      </w:r>
    </w:p>
    <w:p>
      <w:pPr>
        <w:spacing w:after="120"/>
      </w:pPr>
      <w:r>
        <w:rPr>
          <w:rFonts w:ascii="맑은 고딕" w:cs="맑은 고딕" w:eastAsia="맑은 고딕" w:hAnsi="맑은 고딕"/>
          <w:sz w:val="22"/>
          <w:szCs w:val="22"/>
        </w:rPr>
        <w:t xml:space="preserve">(3) 수취계좌의 거래내역을 확인함으로써, 해당 금원이 개인 용도로 소비되었는지(횡령의 직접 증거), 제3자에게 재이체되었는지(자금세탁 의혹), 법인에 환원되었는지(무혐의 근거) 여부를 판단할 수 있습니다.</w:t>
      </w:r>
    </w:p>
    <w:p>
      <w:pPr>
        <w:spacing w:after="60"/>
      </w:pPr>
      <w:r>
        <w:rPr>
          <w:rFonts w:ascii="맑은 고딕" w:cs="맑은 고딕" w:eastAsia="맑은 고딕" w:hAnsi="맑은 고딕"/>
          <w:b/>
          <w:bCs/>
          <w:sz w:val="22"/>
          <w:szCs w:val="22"/>
        </w:rPr>
        <w:t xml:space="preserve">라. 형사 수사와의 관계</w:t>
      </w:r>
    </w:p>
    <w:p>
      <w:pPr>
        <w:spacing w:after="120"/>
      </w:pPr>
      <w:r>
        <w:rPr>
          <w:rFonts w:ascii="맑은 고딕" w:cs="맑은 고딕" w:eastAsia="맑은 고딕" w:hAnsi="맑은 고딕"/>
          <w:sz w:val="22"/>
          <w:szCs w:val="22"/>
        </w:rPr>
        <w:t xml:space="preserve">형사 고소를 통해 수사기관이 압수수색·금융거래정보 조회를 실시하더라도, 그 결과를 민사소송에서 직접 증거로 사용할 수는 없다. </w:t>
      </w:r>
      <w:r>
        <w:rPr>
          <w:rFonts w:ascii="맑은 고딕" w:cs="맑은 고딕" w:eastAsia="맑은 고딕" w:hAnsi="맑은 고딕"/>
          <w:b/>
          <w:bCs/>
          <w:sz w:val="22"/>
          <w:szCs w:val="22"/>
        </w:rPr>
        <w:t xml:space="preserve">따라서 민사소송(채권자대위 소송)에서는 별도로 금융거래정보 제출명령을 신청하여야 한다.</w:t>
      </w:r>
      <w:r>
        <w:rPr>
          <w:rFonts w:ascii="맑은 고딕" w:cs="맑은 고딕" w:eastAsia="맑은 고딕" w:hAnsi="맑은 고딕"/>
          <w:sz w:val="22"/>
          <w:szCs w:val="22"/>
        </w:rPr>
        <w:t xml:space="preserve"> 다만, 형사 수사 결과를 참고하여 추가적인 증거신청의 범위를 결정할 수 있다.</w:t>
      </w:r>
    </w:p>
    <w:p>
      <w:pPr>
        <w:pStyle w:val="Heading2"/>
        <w:spacing w:after="120"/>
      </w:pPr>
      <w:r>
        <w:rPr>
          <w:rFonts w:ascii="맑은 고딕" w:cs="맑은 고딕" w:eastAsia="맑은 고딕" w:hAnsi="맑은 고딕"/>
          <w:sz w:val="22"/>
          <w:szCs w:val="22"/>
        </w:rPr>
        <w:t xml:space="preserve">5. 대체 증거확보 방법 (병행)</w:t>
      </w:r>
    </w:p>
    <w:p>
      <w:pPr>
        <w:spacing w:after="120"/>
      </w:pPr>
      <w:r>
        <w:rPr>
          <w:rFonts w:ascii="맑은 고딕" w:cs="맑은 고딕" w:eastAsia="맑은 고딕" w:hAnsi="맑은 고딕"/>
          <w:sz w:val="22"/>
          <w:szCs w:val="22"/>
        </w:rPr>
        <w:t xml:space="preserve">금융거래정보 제출명령과 더불어 다음을 병행한다:</w:t>
      </w:r>
    </w:p>
    <w:p>
      <w:pPr>
        <w:spacing w:after="120"/>
      </w:pPr>
      <w:r>
        <w:rPr>
          <w:rFonts w:ascii="맑은 고딕" w:cs="맑은 고딕" w:eastAsia="맑은 고딕" w:hAnsi="맑은 고딕"/>
          <w:sz w:val="22"/>
          <w:szCs w:val="22"/>
        </w:rPr>
        <w:t xml:space="preserve">(1) 사실조회 신청: 국세청·관할 세무서에 대하여 법무법인 태율의 법인세 신고 내역, 가수금 명세서, 재무제표 부속서류를 조회한다.</w:t>
      </w:r>
    </w:p>
    <w:p>
      <w:pPr>
        <w:spacing w:after="120"/>
      </w:pPr>
      <w:r>
        <w:rPr>
          <w:rFonts w:ascii="맑은 고딕" w:cs="맑은 고딕" w:eastAsia="맑은 고딕" w:hAnsi="맑은 고딕"/>
          <w:sz w:val="22"/>
          <w:szCs w:val="22"/>
        </w:rPr>
        <w:t xml:space="preserve">(2) 증인신문 신청: 법인의 외부감사인(가은회계법인 신동훈) 또는 세무 담당자를 증인으로 신문하여 가수금 거래처원장의 존부, 회계 처리 경위를 확인한다.</w:t>
      </w:r>
    </w:p>
    <w:p>
      <w:pPr>
        <w:spacing w:after="120"/>
      </w:pPr>
      <w:r>
        <w:rPr>
          <w:rFonts w:ascii="맑은 고딕" w:cs="맑은 고딕" w:eastAsia="맑은 고딕" w:hAnsi="맑은 고딕"/>
          <w:sz w:val="22"/>
          <w:szCs w:val="22"/>
        </w:rPr>
        <w:t xml:space="preserve">(3) 재무상태표 활용: 법인의 재무상태표에 가수금 항목이 기재되어 있다면, 이를 뒷받침하는 거래처원장이 반드시 존재하여야 한다는 논리로 문서제출명령을 재신청한다 (서울중앙지방법원 2017. 11. 2. 선고 2017가합517917 판결 참조).</w:t>
      </w:r>
    </w:p>
    <w:p>
      <w:pPr>
        <w:pStyle w:val="Heading1"/>
        <w:pageBreakBefore/>
        <w:spacing w:after="120"/>
      </w:pPr>
      <w:r>
        <w:rPr>
          <w:rFonts w:ascii="맑은 고딕" w:cs="맑은 고딕" w:eastAsia="맑은 고딕" w:hAnsi="맑은 고딕"/>
          <w:sz w:val="22"/>
          <w:szCs w:val="22"/>
        </w:rPr>
        <w:t xml:space="preserve">제5장  법적 근거</w:t>
      </w:r>
    </w:p>
    <w:p>
      <w:pPr>
        <w:pStyle w:val="Heading2"/>
        <w:spacing w:after="120"/>
      </w:pPr>
      <w:r>
        <w:rPr>
          <w:rFonts w:ascii="맑은 고딕" w:cs="맑은 고딕" w:eastAsia="맑은 고딕" w:hAnsi="맑은 고딕"/>
          <w:sz w:val="22"/>
          <w:szCs w:val="22"/>
        </w:rPr>
        <w:t xml:space="preserve">1. 민사 청구 근거</w:t>
      </w:r>
    </w:p>
    <w:p>
      <w:pPr>
        <w:spacing w:after="120"/>
      </w:pPr>
      <w:r>
        <w:rPr>
          <w:rFonts w:ascii="맑은 고딕" w:cs="맑은 고딕" w:eastAsia="맑은 고딕" w:hAnsi="맑은 고딕"/>
          <w:sz w:val="22"/>
          <w:szCs w:val="22"/>
        </w:rPr>
        <w:t xml:space="preserve">가. 채권자대위권 (민법 제404조): 송명욱은 법인의 채권자로서, 법인이 조대제·김상균에 대하여 가지는 불법행위 손해배상채권(민법 제750조) 및 부당이득반환채권(민법 제741조)을 대위행사한다.</w:t>
      </w:r>
    </w:p>
    <w:p>
      <w:pPr>
        <w:spacing w:after="120"/>
      </w:pPr>
      <w:r>
        <w:rPr>
          <w:rFonts w:ascii="맑은 고딕" w:cs="맑은 고딕" w:eastAsia="맑은 고딕" w:hAnsi="맑은 고딕"/>
          <w:sz w:val="22"/>
          <w:szCs w:val="22"/>
        </w:rPr>
        <w:t xml:space="preserve">나. 피보전채권의 보전 필요성: 법인의 실질적 운영권이 조대제·김상균에게 있어 법인이 스스로 권리를 행사할 것을 기대할 수 없고, 법인의 자력이 부족하여 송명욱의 채권 만족에 지장이 있다.</w:t>
      </w:r>
    </w:p>
    <w:p>
      <w:pPr>
        <w:pStyle w:val="Heading2"/>
        <w:spacing w:after="120"/>
      </w:pPr>
      <w:r>
        <w:rPr>
          <w:rFonts w:ascii="맑은 고딕" w:cs="맑은 고딕" w:eastAsia="맑은 고딕" w:hAnsi="맑은 고딕"/>
          <w:sz w:val="22"/>
          <w:szCs w:val="22"/>
        </w:rPr>
        <w:t xml:space="preserve">2. 형사 고소 근거</w:t>
      </w:r>
    </w:p>
    <w:p>
      <w:pPr>
        <w:spacing w:after="120"/>
      </w:pPr>
      <w:r>
        <w:rPr>
          <w:rFonts w:ascii="맑은 고딕" w:cs="맑은 고딕" w:eastAsia="맑은 고딕" w:hAnsi="맑은 고딕"/>
          <w:sz w:val="22"/>
          <w:szCs w:val="22"/>
        </w:rPr>
        <w:t xml:space="preserve">가. 업무상 횡령 (형법 제356조): 법인 자금 관리 업무를 담당하는 자가 법인 자금을 임의로 사적 용도에 사용한 행위.</w:t>
      </w:r>
    </w:p>
    <w:p>
      <w:pPr>
        <w:spacing w:after="120"/>
      </w:pPr>
      <w:r>
        <w:rPr>
          <w:rFonts w:ascii="맑은 고딕" w:cs="맑은 고딕" w:eastAsia="맑은 고딕" w:hAnsi="맑은 고딕"/>
          <w:sz w:val="22"/>
          <w:szCs w:val="22"/>
        </w:rPr>
        <w:t xml:space="preserve">나. 조세범처벌법 위반:</w:t>
      </w:r>
    </w:p>
    <w:p>
      <w:pPr>
        <w:spacing w:after="120"/>
      </w:pPr>
      <w:r>
        <w:rPr>
          <w:rFonts w:ascii="맑은 고딕" w:cs="맑은 고딕" w:eastAsia="맑은 고딕" w:hAnsi="맑은 고딕"/>
          <w:sz w:val="22"/>
          <w:szCs w:val="22"/>
        </w:rPr>
        <w:t xml:space="preserve">(1) 제10조(장부의 기록·보존의무 위반): 법인 회계장부를 작성·비치하지 않은 것 자체가 위반.</w:t>
      </w:r>
    </w:p>
    <w:p>
      <w:pPr>
        <w:spacing w:after="120"/>
      </w:pPr>
      <w:r>
        <w:rPr>
          <w:rFonts w:ascii="맑은 고딕" w:cs="맑은 고딕" w:eastAsia="맑은 고딕" w:hAnsi="맑은 고딕"/>
          <w:sz w:val="22"/>
          <w:szCs w:val="22"/>
        </w:rPr>
        <w:t xml:space="preserve">(2) 제3조(조세포탈): 매출누락 + 장부 부존재로 법인세·부가세를 포탈한 혐의.</w:t>
      </w:r>
    </w:p>
    <w:p>
      <w:pPr>
        <w:spacing w:after="120"/>
      </w:pPr>
      <w:r>
        <w:rPr>
          <w:rFonts w:ascii="맑은 고딕" w:cs="맑은 고딕" w:eastAsia="맑은 고딕" w:hAnsi="맑은 고딕"/>
          <w:sz w:val="22"/>
          <w:szCs w:val="22"/>
        </w:rPr>
        <w:t xml:space="preserve">다. 사문서 위조 (형법 제231조): 가지급금·단기차입금 허위 회계처리.</w:t>
      </w:r>
    </w:p>
    <w:p>
      <w:pPr>
        <w:pStyle w:val="Heading2"/>
        <w:spacing w:after="120"/>
      </w:pPr>
      <w:r>
        <w:rPr>
          <w:rFonts w:ascii="맑은 고딕" w:cs="맑은 고딕" w:eastAsia="맑은 고딕" w:hAnsi="맑은 고딕"/>
          <w:sz w:val="22"/>
          <w:szCs w:val="22"/>
        </w:rPr>
        <w:t xml:space="preserve">3. 입증책임 전환 판례</w:t>
      </w:r>
    </w:p>
    <w:p>
      <w:pPr>
        <w:spacing w:after="120"/>
      </w:pPr>
      <w:r>
        <w:rPr>
          <w:rFonts w:ascii="맑은 고딕" w:cs="맑은 고딕" w:eastAsia="맑은 고딕" w:hAnsi="맑은 고딕"/>
          <w:sz w:val="22"/>
          <w:szCs w:val="22"/>
        </w:rPr>
        <w:t xml:space="preserve">가. 대법원 2002. 1. 11. 선고 2000두3726 판결: "법인이 매출사실이 있음에도 불구하고 그 매출액을 장부에 기재하지 아니한 경우에는 특별한 사정이 없는 한 매출누락액 전액이 사외로 유출된 것으로 보아야 하고, 이 경우 그 매출누락액이 사외로 유출된 것이 아니라고 볼 특별사정은 이를 주장하는 법인이 입증하여야 한다."</w:t>
      </w:r>
    </w:p>
    <w:p>
      <w:pPr>
        <w:spacing w:after="120"/>
      </w:pPr>
      <w:r>
        <w:rPr>
          <w:rFonts w:ascii="맑은 고딕" w:cs="맑은 고딕" w:eastAsia="맑은 고딕" w:hAnsi="맑은 고딕"/>
          <w:sz w:val="22"/>
          <w:szCs w:val="22"/>
        </w:rPr>
        <w:t xml:space="preserve">나. 대구고등법원 2019노382: 가수금 채권이 있더라도 정당한 절차 없이 임의 인출하면 횡령 성립.</w:t>
      </w:r>
    </w:p>
    <w:p>
      <w:pPr>
        <w:spacing w:after="120"/>
      </w:pPr>
      <w:r>
        <w:rPr>
          <w:rFonts w:ascii="맑은 고딕" w:cs="맑은 고딕" w:eastAsia="맑은 고딕" w:hAnsi="맑은 고딕"/>
          <w:sz w:val="22"/>
          <w:szCs w:val="22"/>
        </w:rPr>
        <w:t xml:space="preserve">다. 부산지법 2015가합1829: 법인 대표자의 횡령에 대한 민사 손해배상 인정 사례.</w:t>
      </w:r>
    </w:p>
    <w:p>
      <w:pPr>
        <w:pStyle w:val="Heading1"/>
        <w:pageBreakBefore/>
        <w:spacing w:after="120"/>
      </w:pPr>
      <w:r>
        <w:rPr>
          <w:rFonts w:ascii="맑은 고딕" w:cs="맑은 고딕" w:eastAsia="맑은 고딕" w:hAnsi="맑은 고딕"/>
          <w:sz w:val="22"/>
          <w:szCs w:val="22"/>
        </w:rPr>
        <w:t xml:space="preserve">제6장  손해배상액 산정</w:t>
      </w:r>
    </w:p>
    <w:p>
      <w:pPr>
        <w:pStyle w:val="Heading2"/>
        <w:spacing w:after="120"/>
      </w:pPr>
      <w:r>
        <w:rPr>
          <w:rFonts w:ascii="맑은 고딕" w:cs="맑은 고딕" w:eastAsia="맑은 고딕" w:hAnsi="맑은 고딕"/>
          <w:sz w:val="22"/>
          <w:szCs w:val="22"/>
        </w:rPr>
        <w:t xml:space="preserve">1. 원금 (횡령액)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항목</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조대제</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김상균</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소계</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유형1: 가수금·대여금</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46,600,000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94,805,860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141,405,860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유형2: 차량리스</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33,265,672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61,507,148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94,772,820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유형3: 유흥업소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30,166,000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22,380,600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52,546,600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유형4: 대리운전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2,064,120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7,485,780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9,549,900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유형5: ATM 현금인출</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(미분리)</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(미분리)</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41,768,704</w:t>
            </w:r>
          </w:p>
        </w:tc>
      </w:tr>
      <w:tr>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  계</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340,043,884</w:t>
            </w:r>
          </w:p>
        </w:tc>
      </w:tr>
    </w:tbl>
    <w:p>
      <w:pPr>
        <w:spacing w:after="120"/>
      </w:pPr>
      <w:r>
        <w:rPr>
          <w:rFonts w:ascii="맑은 고딕" w:cs="맑은 고딕" w:eastAsia="맑은 고딕" w:hAnsi="맑은 고딕"/>
          <w:sz w:val="22"/>
          <w:szCs w:val="22"/>
        </w:rPr>
        <w:t xml:space="preserve"/>
      </w:r>
    </w:p>
    <w:p>
      <w:pPr>
        <w:pStyle w:val="Heading2"/>
        <w:spacing w:after="120"/>
      </w:pPr>
      <w:r>
        <w:rPr>
          <w:rFonts w:ascii="맑은 고딕" w:cs="맑은 고딕" w:eastAsia="맑은 고딕" w:hAnsi="맑은 고딕"/>
          <w:sz w:val="22"/>
          <w:szCs w:val="22"/>
        </w:rPr>
        <w:t xml:space="preserve">2. 지연손해금</w:t>
      </w:r>
    </w:p>
    <w:p>
      <w:pPr>
        <w:spacing w:after="120"/>
      </w:pPr>
      <w:r>
        <w:rPr>
          <w:rFonts w:ascii="맑은 고딕" w:cs="맑은 고딕" w:eastAsia="맑은 고딕" w:hAnsi="맑은 고딕"/>
          <w:sz w:val="22"/>
          <w:szCs w:val="22"/>
        </w:rPr>
        <w:t xml:space="preserve">각 횡령 거래일로부터 다 갚는 날까지 연 5%(민법상 법정이율) 또는 연 12%(소송촉진법). 최초 거래일 2016. 9. 10.부터 현재까지 약 9년 6개월 경과.</w:t>
      </w:r>
    </w:p>
    <w:p>
      <w:pPr>
        <w:spacing w:after="120"/>
      </w:pPr>
      <w:r>
        <w:rPr>
          <w:rFonts w:ascii="맑은 고딕" w:cs="맑은 고딕" w:eastAsia="맑은 고딕" w:hAnsi="맑은 고딕"/>
          <w:b/>
          <w:bCs/>
          <w:sz w:val="22"/>
          <w:szCs w:val="22"/>
        </w:rPr>
        <w:t xml:space="preserve">원금 340,043,884원 기준 연 5% 적용 시 약 161,520,845원(9.5년분)의 지연손해금 발생. 원리금 합계 약 501,564,729원.</w:t>
      </w:r>
    </w:p>
    <w:p>
      <w:pPr>
        <w:pStyle w:val="Heading2"/>
        <w:spacing w:after="120"/>
      </w:pPr>
      <w:r>
        <w:rPr>
          <w:rFonts w:ascii="맑은 고딕" w:cs="맑은 고딕" w:eastAsia="맑은 고딕" w:hAnsi="맑은 고딕"/>
          <w:sz w:val="22"/>
          <w:szCs w:val="22"/>
        </w:rPr>
        <w:t xml:space="preserve">3. 부대 손해</w:t>
      </w:r>
    </w:p>
    <w:p>
      <w:pPr>
        <w:spacing w:after="120"/>
      </w:pPr>
      <w:r>
        <w:rPr>
          <w:rFonts w:ascii="맑은 고딕" w:cs="맑은 고딕" w:eastAsia="맑은 고딕" w:hAnsi="맑은 고딕"/>
          <w:sz w:val="22"/>
          <w:szCs w:val="22"/>
        </w:rPr>
        <w:t xml:space="preserve">가. 회계감사비용, 법률 비용 등 피해회복 과정에서 발생한 비용</w:t>
      </w:r>
    </w:p>
    <w:p>
      <w:pPr>
        <w:spacing w:after="120"/>
      </w:pPr>
      <w:r>
        <w:rPr>
          <w:rFonts w:ascii="맑은 고딕" w:cs="맑은 고딕" w:eastAsia="맑은 고딕" w:hAnsi="맑은 고딕"/>
          <w:sz w:val="22"/>
          <w:szCs w:val="22"/>
        </w:rPr>
        <w:t xml:space="preserve">나. 법인 신용 훼손에 따른 기회비용</w:t>
      </w:r>
    </w:p>
    <w:p>
      <w:pPr>
        <w:spacing w:after="120"/>
      </w:pPr>
      <w:r>
        <w:rPr>
          <w:rFonts w:ascii="맑은 고딕" w:cs="맑은 고딕" w:eastAsia="맑은 고딕" w:hAnsi="맑은 고딕"/>
          <w:sz w:val="22"/>
          <w:szCs w:val="22"/>
        </w:rPr>
        <w:t xml:space="preserve">다. 세무상 추징 위험 (매출누락에 따른 가산세·추징세)</w:t>
      </w:r>
    </w:p>
    <w:p>
      <w:pPr>
        <w:pStyle w:val="Heading1"/>
        <w:pageBreakBefore/>
        <w:spacing w:after="120"/>
      </w:pPr>
      <w:r>
        <w:rPr>
          <w:rFonts w:ascii="맑은 고딕" w:cs="맑은 고딕" w:eastAsia="맑은 고딕" w:hAnsi="맑은 고딕"/>
          <w:sz w:val="22"/>
          <w:szCs w:val="22"/>
        </w:rPr>
        <w:t xml:space="preserve">제7장  실행 로드맵</w:t>
      </w:r>
    </w:p>
    <w:p>
      <w:pPr>
        <w:pStyle w:val="Heading2"/>
        <w:spacing w:after="120"/>
      </w:pPr>
      <w:r>
        <w:rPr>
          <w:rFonts w:ascii="맑은 고딕" w:cs="맑은 고딕" w:eastAsia="맑은 고딕" w:hAnsi="맑은 고딕"/>
          <w:sz w:val="22"/>
          <w:szCs w:val="22"/>
        </w:rPr>
        <w:t xml:space="preserve">1단계: 형사 고소 (즉시)</w:t>
      </w:r>
    </w:p>
    <w:p>
      <w:pPr>
        <w:spacing w:after="120"/>
      </w:pPr>
      <w:r>
        <w:rPr>
          <w:rFonts w:ascii="맑은 고딕" w:cs="맑은 고딕" w:eastAsia="맑은 고딕" w:hAnsi="맑은 고딕"/>
          <w:sz w:val="22"/>
          <w:szCs w:val="22"/>
        </w:rPr>
        <w:t xml:space="preserve">가. 고소장(v4) 제출 → 수사기관의 강제 조사권 활용 (압수수색, 금융거래정보 조회)</w:t>
      </w:r>
    </w:p>
    <w:p>
      <w:pPr>
        <w:spacing w:after="120"/>
      </w:pPr>
      <w:r>
        <w:rPr>
          <w:rFonts w:ascii="맑은 고딕" w:cs="맑은 고딕" w:eastAsia="맑은 고딕" w:hAnsi="맑은 고딕"/>
          <w:sz w:val="22"/>
          <w:szCs w:val="22"/>
        </w:rPr>
        <w:t xml:space="preserve">나. 조세범처벌법 위반(장부 부존재, 매출누락) 별도 죄명 추가</w:t>
      </w:r>
    </w:p>
    <w:p>
      <w:pPr>
        <w:spacing w:after="120"/>
      </w:pPr>
      <w:r>
        <w:rPr>
          <w:rFonts w:ascii="맑은 고딕" w:cs="맑은 고딕" w:eastAsia="맑은 고딕" w:hAnsi="맑은 고딕"/>
          <w:sz w:val="22"/>
          <w:szCs w:val="22"/>
        </w:rPr>
        <w:t xml:space="preserve">다. 수사 결과를 민사소송 증거신청 범위 결정에 활용 (직접 증거로는 사용 불가)</w:t>
      </w:r>
    </w:p>
    <w:p>
      <w:pPr>
        <w:pStyle w:val="Heading2"/>
        <w:spacing w:after="120"/>
      </w:pPr>
      <w:r>
        <w:rPr>
          <w:rFonts w:ascii="맑은 고딕" w:cs="맑은 고딕" w:eastAsia="맑은 고딕" w:hAnsi="맑은 고딕"/>
          <w:sz w:val="22"/>
          <w:szCs w:val="22"/>
        </w:rPr>
        <w:t xml:space="preserve">2단계: 민사 채권자대위 소송 (형사 고소와 병행)</w:t>
      </w:r>
    </w:p>
    <w:p>
      <w:pPr>
        <w:spacing w:after="120"/>
      </w:pPr>
      <w:r>
        <w:rPr>
          <w:rFonts w:ascii="맑은 고딕" w:cs="맑은 고딕" w:eastAsia="맑은 고딕" w:hAnsi="맑은 고딕"/>
          <w:sz w:val="22"/>
          <w:szCs w:val="22"/>
        </w:rPr>
        <w:t xml:space="preserve">가. 채권자대위 소송 제기 (피보전채권: 약 269,769,931원)</w:t>
      </w:r>
    </w:p>
    <w:p>
      <w:pPr>
        <w:spacing w:after="120"/>
      </w:pPr>
      <w:r>
        <w:rPr>
          <w:rFonts w:ascii="맑은 고딕" w:cs="맑은 고딕" w:eastAsia="맑은 고딕" w:hAnsi="맑은 고딕"/>
          <w:b/>
          <w:bCs/>
          <w:sz w:val="22"/>
          <w:szCs w:val="22"/>
        </w:rPr>
        <w:t xml:space="preserve">나. 금융거래정보 제출명령 신청 </w:t>
      </w:r>
      <w:r>
        <w:rPr>
          <w:rFonts w:ascii="맑은 고딕" w:cs="맑은 고딕" w:eastAsia="맑은 고딕" w:hAnsi="맑은 고딕"/>
          <w:sz w:val="22"/>
          <w:szCs w:val="22"/>
        </w:rPr>
        <w:t xml:space="preserve">— 유형1 가수금·대여금 유용 관련 조대제 수취계좌 3개, 김상균 수취계좌 2개에 대한 거래내역</w:t>
      </w:r>
    </w:p>
    <w:p>
      <w:pPr>
        <w:spacing w:after="120"/>
      </w:pPr>
      <w:r>
        <w:rPr>
          <w:rFonts w:ascii="맑은 고딕" w:cs="맑은 고딕" w:eastAsia="맑은 고딕" w:hAnsi="맑은 고딕"/>
          <w:sz w:val="22"/>
          <w:szCs w:val="22"/>
        </w:rPr>
        <w:t xml:space="preserve">다. 사실조회 신청 (국세청: 법인세 신고 내역, 가수금 명세서)</w:t>
      </w:r>
    </w:p>
    <w:p>
      <w:pPr>
        <w:spacing w:after="120"/>
      </w:pPr>
      <w:r>
        <w:rPr>
          <w:rFonts w:ascii="맑은 고딕" w:cs="맑은 고딕" w:eastAsia="맑은 고딕" w:hAnsi="맑은 고딕"/>
          <w:sz w:val="22"/>
          <w:szCs w:val="22"/>
        </w:rPr>
        <w:t xml:space="preserve">라. 증인신문 신청 (신동훈 회계사: 회계장부 작성 경위)</w:t>
      </w:r>
    </w:p>
    <w:p>
      <w:pPr>
        <w:spacing w:after="120"/>
      </w:pPr>
      <w:r>
        <w:rPr>
          <w:rFonts w:ascii="맑은 고딕" w:cs="맑은 고딕" w:eastAsia="맑은 고딕" w:hAnsi="맑은 고딕"/>
          <w:sz w:val="22"/>
          <w:szCs w:val="22"/>
        </w:rPr>
        <w:t xml:space="preserve">마. 문서제출명령 재신청 (재무상태표상 가수금 기재 → 거래처원장 존재 추정 논리)</w:t>
      </w:r>
    </w:p>
    <w:p>
      <w:pPr>
        <w:pStyle w:val="Heading2"/>
        <w:spacing w:after="120"/>
      </w:pPr>
      <w:r>
        <w:rPr>
          <w:rFonts w:ascii="맑은 고딕" w:cs="맑은 고딕" w:eastAsia="맑은 고딕" w:hAnsi="맑은 고딕"/>
          <w:sz w:val="22"/>
          <w:szCs w:val="22"/>
        </w:rPr>
        <w:t xml:space="preserve">3단계: 재산 보전</w:t>
      </w:r>
    </w:p>
    <w:p>
      <w:pPr>
        <w:spacing w:after="120"/>
      </w:pPr>
      <w:r>
        <w:rPr>
          <w:rFonts w:ascii="맑은 고딕" w:cs="맑은 고딕" w:eastAsia="맑은 고딕" w:hAnsi="맑은 고딕"/>
          <w:sz w:val="22"/>
          <w:szCs w:val="22"/>
        </w:rPr>
        <w:t xml:space="preserve">가. 가압류 신청 (조대제·김상균의 부동산, 예금, 차량 등)</w:t>
      </w:r>
    </w:p>
    <w:p>
      <w:pPr>
        <w:spacing w:after="120"/>
      </w:pPr>
      <w:r>
        <w:rPr>
          <w:rFonts w:ascii="맑은 고딕" w:cs="맑은 고딕" w:eastAsia="맑은 고딕" w:hAnsi="맑은 고딕"/>
          <w:sz w:val="22"/>
          <w:szCs w:val="22"/>
        </w:rPr>
        <w:t xml:space="preserve">나. 배상명령 신청 (형사 유죄 확정 시, 형사소송법 제25조)</w:t>
      </w:r>
    </w:p>
    <w:p>
      <w:pPr>
        <w:pStyle w:val="Heading2"/>
        <w:spacing w:after="120"/>
      </w:pPr>
      <w:r>
        <w:rPr>
          <w:rFonts w:ascii="맑은 고딕" w:cs="맑은 고딕" w:eastAsia="맑은 고딕" w:hAnsi="맑은 고딕"/>
          <w:sz w:val="22"/>
          <w:szCs w:val="22"/>
        </w:rPr>
        <w:t xml:space="preserve">4단계: 판결 확정 후 강제집행</w:t>
      </w:r>
    </w:p>
    <w:p>
      <w:pPr>
        <w:spacing w:after="120"/>
      </w:pPr>
      <w:r>
        <w:rPr>
          <w:rFonts w:ascii="맑은 고딕" w:cs="맑은 고딕" w:eastAsia="맑은 고딕" w:hAnsi="맑은 고딕"/>
          <w:sz w:val="22"/>
          <w:szCs w:val="22"/>
        </w:rPr>
        <w:t xml:space="preserve">가. 민사 판결 확정 → 채권압류 및 추심명령</w:t>
      </w:r>
    </w:p>
    <w:p>
      <w:pPr>
        <w:spacing w:after="120"/>
      </w:pPr>
      <w:r>
        <w:rPr>
          <w:rFonts w:ascii="맑은 고딕" w:cs="맑은 고딕" w:eastAsia="맑은 고딕" w:hAnsi="맑은 고딕"/>
          <w:sz w:val="22"/>
          <w:szCs w:val="22"/>
        </w:rPr>
        <w:t xml:space="preserve">나. 부동산 강제경매</w:t>
      </w:r>
    </w:p>
    <w:p>
      <w:pPr>
        <w:spacing w:after="120"/>
      </w:pPr>
      <w:r>
        <w:rPr>
          <w:rFonts w:ascii="맑은 고딕" w:cs="맑은 고딕" w:eastAsia="맑은 고딕" w:hAnsi="맑은 고딕"/>
          <w:sz w:val="22"/>
          <w:szCs w:val="22"/>
        </w:rPr>
        <w:t xml:space="preserve">다. 형사 배상명령 확정 시 별도 집행</w:t>
      </w:r>
    </w:p>
    <w:p>
      <w:pPr>
        <w:pStyle w:val="Heading1"/>
        <w:pageBreakBefore/>
        <w:spacing w:after="120"/>
      </w:pPr>
      <w:r>
        <w:rPr>
          <w:rFonts w:ascii="맑은 고딕" w:cs="맑은 고딕" w:eastAsia="맑은 고딕" w:hAnsi="맑은 고딕"/>
          <w:sz w:val="22"/>
          <w:szCs w:val="22"/>
        </w:rPr>
        <w:t xml:space="preserve">제8장  예상 항변과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예상 항변</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대응 논리</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가수금 채권이 있었으므로
정당한 반환이다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가수금 채권의 존재 여부와 무관하게, 법인 내부 승인절차 없이 임의 인출한 행위 자체가 횡령 (대구고법 2019노382). 또한 회계장부가 부존재하여 가수금 채권의 실체를 입증할 수 없음.</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회계장부가 없어
횡령을 입증할 수 없다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장부 부존재는 오히려 불리한 증거: (1) 장부 미기재 = 사외유출 추정 (대법원 2000두3726), (2) 조세범처벌법 위반의 독립적 증거, (3) 은행 거래내역이라는 객관적 증거가 별도로 존재.</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송명욱에게
가지급금 70M을 지급했다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상대방 항변으로 제출 시 대응: 가지급금의 실질은 수임료 분배금이며 허위 회계처리된 것. 단기차입금 대체 → 분담금 상환 구조가 이를 증명.</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분담금은 구성원으로서
당연히 부담할 비용이다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수임료 전액 송명욱 귀속 구두약정 하에서 분담금은 이중 징수. 504 계좌에서 수임료가 직접 입금되는 구조(전체 입금의 83%가 의뢰인/외부)가 이를 뒷받침.</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채권자대위의
피보전채권이 부족하다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 160.8M + 단기차입금 잔액 109M = 약 269.8M. 횡령 채권 340M에는 미달하나, 피보전채권 범위 내에서 충분히 대위행사 가능. 단기차입금 정확한 잔액 확정 시 상향 여지 있음.</w:t>
            </w:r>
          </w:p>
        </w:tc>
      </w:tr>
    </w:tbl>
    <w:p>
      <w:pPr>
        <w:pStyle w:val="Heading1"/>
        <w:pageBreakBefore/>
        <w:spacing w:after="120"/>
      </w:pPr>
      <w:r>
        <w:rPr>
          <w:rFonts w:ascii="맑은 고딕" w:cs="맑은 고딕" w:eastAsia="맑은 고딕" w:hAnsi="맑은 고딕"/>
          <w:sz w:val="22"/>
          <w:szCs w:val="22"/>
        </w:rPr>
        <w:t xml:space="preserve">제9장  시효 관리</w:t>
      </w:r>
    </w:p>
    <w:p>
      <w:pPr>
        <w:pStyle w:val="Heading2"/>
        <w:spacing w:after="120"/>
      </w:pPr>
      <w:r>
        <w:rPr>
          <w:rFonts w:ascii="맑은 고딕" w:cs="맑은 고딕" w:eastAsia="맑은 고딕" w:hAnsi="맑은 고딕"/>
          <w:sz w:val="22"/>
          <w:szCs w:val="22"/>
        </w:rPr>
        <w:t xml:space="preserve">1. 형사 공소시효</w:t>
      </w:r>
    </w:p>
    <w:p>
      <w:pPr>
        <w:spacing w:after="120"/>
      </w:pPr>
      <w:r>
        <w:rPr>
          <w:rFonts w:ascii="맑은 고딕" w:cs="맑은 고딕" w:eastAsia="맑은 고딕" w:hAnsi="맑은 고딕"/>
          <w:b/>
          <w:bCs/>
          <w:sz w:val="22"/>
          <w:szCs w:val="22"/>
        </w:rPr>
        <w:t xml:space="preserve">업무상 횡령(형법 제356조): 공소시효 10년. 최초 거래일 2016. 9. 10. 기준 만료일 2026. 9. 10.</w:t>
      </w:r>
    </w:p>
    <w:p>
      <w:pPr>
        <w:spacing w:after="120"/>
      </w:pPr>
      <w:r>
        <w:rPr>
          <w:rFonts w:ascii="맑은 고딕" w:cs="맑은 고딕" w:eastAsia="맑은 고딕" w:hAnsi="맑은 고딕"/>
          <w:sz w:val="22"/>
          <w:szCs w:val="22"/>
        </w:rPr>
        <w:t xml:space="preserve">조세범처벌법 제3조(조세포탈): 공소시효 5년~10년 (포탈세액에 따라 차등).</w:t>
      </w:r>
    </w:p>
    <w:p>
      <w:pPr>
        <w:pStyle w:val="Heading2"/>
        <w:spacing w:after="120"/>
      </w:pPr>
      <w:r>
        <w:rPr>
          <w:rFonts w:ascii="맑은 고딕" w:cs="맑은 고딕" w:eastAsia="맑은 고딕" w:hAnsi="맑은 고딕"/>
          <w:sz w:val="22"/>
          <w:szCs w:val="22"/>
        </w:rPr>
        <w:t xml:space="preserve">2. 민사 소멸시효</w:t>
      </w:r>
    </w:p>
    <w:p>
      <w:pPr>
        <w:spacing w:after="120"/>
      </w:pPr>
      <w:r>
        <w:rPr>
          <w:rFonts w:ascii="맑은 고딕" w:cs="맑은 고딕" w:eastAsia="맑은 고딕" w:hAnsi="맑은 고딕"/>
          <w:sz w:val="22"/>
          <w:szCs w:val="22"/>
        </w:rPr>
        <w:t xml:space="preserve">불법행위 손해배상(민법 제766조): 안 날로부터 3년, 불법행위일로부터 10년.</w:t>
      </w:r>
    </w:p>
    <w:p>
      <w:pPr>
        <w:spacing w:after="120"/>
      </w:pPr>
      <w:r>
        <w:rPr>
          <w:rFonts w:ascii="맑은 고딕" w:cs="맑은 고딕" w:eastAsia="맑은 고딕" w:hAnsi="맑은 고딕"/>
          <w:sz w:val="22"/>
          <w:szCs w:val="22"/>
        </w:rPr>
        <w:t xml:space="preserve">부당이득반환(민법 제162조): 10년.</w:t>
      </w:r>
    </w:p>
    <w:p>
      <w:pPr>
        <w:spacing w:after="120"/>
      </w:pPr>
      <w:r>
        <w:rPr>
          <w:rFonts w:ascii="맑은 고딕" w:cs="맑은 고딕" w:eastAsia="맑은 고딕" w:hAnsi="맑은 고딕"/>
          <w:b/>
          <w:bCs/>
          <w:color w:val="FF0000"/>
          <w:sz w:val="22"/>
          <w:szCs w:val="22"/>
        </w:rPr>
        <w:t xml:space="preserve">※ 긴급: 형사 공소시효 만료까지 약 5개월(2026. 9. 10.)밖에 남지 않았으므로, 고소장 제출이 최우선 과제이다.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손해배상 청구 전략서 v2.1 | 법무법인(유한) 대륜 | </w:t>
    </w:r>
    <w:r>
      <w:rPr>
        <w:rFonts w:ascii="맑은 고딕" w:cs="맑은 고딕" w:eastAsia="맑은 고딕" w:hAnsi="맑은 고딕"/>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upperRoman"/>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decimal"/>
      <w:lvlText w:val="제%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2026-04-11T23:55:35.946Z</dcterms:created>
  <dcterms:modified xsi:type="dcterms:W3CDTF">2026-04-11T23:55:35.946Z</dcterms:modified>
</cp:coreProperties>
</file>

<file path=docProps/custom.xml><?xml version="1.0" encoding="utf-8"?>
<Properties xmlns="http://schemas.openxmlformats.org/officeDocument/2006/custom-properties" xmlns:vt="http://schemas.openxmlformats.org/officeDocument/2006/docPropsVTypes"/>
</file>