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6B86021F" w:rsidR="00ED1CE6" w:rsidRDefault="001B6D3E"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Mapping Economic Disparities</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4B07A13" w:rsidR="00BD670B" w:rsidRPr="00D97DD7" w:rsidRDefault="001B6D3E" w:rsidP="00BD670B">
      <w:pPr>
        <w:pStyle w:val="Author"/>
        <w:spacing w:before="5pt" w:beforeAutospacing="1"/>
        <w:rPr>
          <w:sz w:val="18"/>
          <w:szCs w:val="18"/>
        </w:rPr>
      </w:pPr>
      <w:r>
        <w:rPr>
          <w:sz w:val="18"/>
          <w:szCs w:val="18"/>
        </w:rPr>
        <w:t>Daren Yun</w:t>
      </w:r>
      <w:r w:rsidR="001A3B3D" w:rsidRPr="00D97DD7">
        <w:rPr>
          <w:sz w:val="18"/>
          <w:szCs w:val="18"/>
        </w:rPr>
        <w:br/>
      </w:r>
      <w:r w:rsidR="00127237">
        <w:rPr>
          <w:i/>
          <w:sz w:val="18"/>
          <w:szCs w:val="18"/>
        </w:rPr>
        <w:t>Data Science Fundamentals COMP3125</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EBC68D7" w:rsidR="004D72B5" w:rsidRPr="00D97DD7" w:rsidRDefault="009303D9" w:rsidP="00972203">
      <w:pPr>
        <w:pStyle w:val="Abstract"/>
        <w:rPr>
          <w:i/>
          <w:iCs/>
        </w:rPr>
      </w:pPr>
      <w:r w:rsidRPr="00D97DD7">
        <w:rPr>
          <w:i/>
          <w:iCs/>
        </w:rPr>
        <w:t>Abstract</w:t>
      </w:r>
      <w:r w:rsidRPr="00D97DD7">
        <w:t>—</w:t>
      </w:r>
      <w:r w:rsidR="00517985">
        <w:t xml:space="preserve"> The purpose of this research is to examine the income inequality amongst geographic terrains and its involvement in employment, economic development, and overall living costs across nationwide regions. Through quantitative analysis of geography and economy, it will reveal disparities and trends that can be studied to infer predictions as well as address any potential critical issues.</w:t>
      </w:r>
    </w:p>
    <w:p w14:paraId="3F53BA43" w14:textId="04A360DD" w:rsidR="009303D9" w:rsidRPr="00517985" w:rsidRDefault="004D72B5" w:rsidP="00972203">
      <w:pPr>
        <w:pStyle w:val="Keywords"/>
        <w:rPr>
          <w:i w:val="0"/>
          <w:iCs/>
        </w:rPr>
      </w:pPr>
      <w:r w:rsidRPr="00D97DD7">
        <w:t>Keywords—</w:t>
      </w:r>
      <w:r w:rsidR="00517985">
        <w:rPr>
          <w:lang w:eastAsia="zh-CN"/>
        </w:rPr>
        <w:t xml:space="preserve"> Geographic inequality, Household income, Economic growth, Cost of living</w:t>
      </w:r>
    </w:p>
    <w:p w14:paraId="4F2D8739" w14:textId="08D47139" w:rsidR="004D6F37" w:rsidRPr="00127237" w:rsidRDefault="009303D9" w:rsidP="00B6733E">
      <w:pPr>
        <w:pStyle w:val="Heading1"/>
      </w:pPr>
      <w:r w:rsidRPr="00D97DD7">
        <w:t>Introduction</w:t>
      </w:r>
    </w:p>
    <w:p w14:paraId="245D5624" w14:textId="1BE8AB81" w:rsidR="009303D9" w:rsidRDefault="00517985" w:rsidP="00B445DA">
      <w:pPr>
        <w:pStyle w:val="BodyText"/>
        <w:rPr>
          <w:lang w:val="en-US"/>
        </w:rPr>
      </w:pPr>
      <w:r>
        <w:rPr>
          <w:lang w:val="en-US"/>
        </w:rPr>
        <w:t>Inequality in income stems from one of many variables, geography, and this is key to understanding the socioeconomic dynamics of our regions. I would like to funnel research primarily into analyzing these disparities and trends in overall household income within and across a few regions that have been influenced on its geographic attributes to address five key questions: (1) What kind of income inequality exists within a region due to geography? (2) Why does the median household income vary by region? (3) How is employment related to household income compared to other regions? (4) Which regions show the most significant economic growth or economic decline over the years? (5) How does cost of living and household income compare across localities?</w:t>
      </w:r>
    </w:p>
    <w:p w14:paraId="7D585513" w14:textId="0AE70BDD" w:rsidR="00517985" w:rsidRDefault="003550BA" w:rsidP="00B445DA">
      <w:pPr>
        <w:pStyle w:val="BodyText"/>
        <w:rPr>
          <w:lang w:val="en-US"/>
        </w:rPr>
      </w:pPr>
      <w:r>
        <w:rPr>
          <w:lang w:val="en-US"/>
        </w:rPr>
        <w:t>These questions come across as vital to me because of the experiences and discussions amongst peers and friends at different parts of the country that experience their own economic policies, resource allocation, and social welfare programs, different than my own. It leaves a big hole in understanding just how much even one physically different attribute can play such an immense influence over a region.</w:t>
      </w:r>
    </w:p>
    <w:p w14:paraId="3023EAB6" w14:textId="09331DBA" w:rsidR="003550BA" w:rsidRPr="00D97DD7" w:rsidRDefault="003550BA" w:rsidP="00B445DA">
      <w:pPr>
        <w:pStyle w:val="BodyText"/>
        <w:rPr>
          <w:lang w:val="en-US"/>
        </w:rPr>
      </w:pPr>
      <w:r>
        <w:rPr>
          <w:lang w:val="en-US"/>
        </w:rPr>
        <w:t>My approach involves quantitative methods</w:t>
      </w:r>
      <w:r w:rsidR="00452E01">
        <w:rPr>
          <w:lang w:val="en-US"/>
        </w:rPr>
        <w:t xml:space="preserve"> through matplotlib or pandas</w:t>
      </w:r>
      <w:r>
        <w:rPr>
          <w:lang w:val="en-US"/>
        </w:rPr>
        <w:t xml:space="preserve"> to analyze the income data</w:t>
      </w:r>
      <w:r w:rsidR="00C84866">
        <w:rPr>
          <w:lang w:val="en-US"/>
        </w:rPr>
        <w:t xml:space="preserve"> [1]</w:t>
      </w:r>
      <w:r>
        <w:rPr>
          <w:lang w:val="en-US"/>
        </w:rPr>
        <w:t>, employment rates, and key economic indicators</w:t>
      </w:r>
      <w:r w:rsidR="00452E01">
        <w:rPr>
          <w:lang w:val="en-US"/>
        </w:rPr>
        <w:t xml:space="preserve"> [2]</w:t>
      </w:r>
      <w:r>
        <w:rPr>
          <w:lang w:val="en-US"/>
        </w:rPr>
        <w:t xml:space="preserve"> over a set period of time. It also involves using geographic information systems to conclude a visual pattern to better identify any disparities or trends. </w:t>
      </w:r>
    </w:p>
    <w:p w14:paraId="2BBE5788" w14:textId="06EA49AE" w:rsidR="009303D9" w:rsidRPr="00D97DD7" w:rsidRDefault="00B272CE" w:rsidP="006B6B66">
      <w:pPr>
        <w:pStyle w:val="Heading1"/>
      </w:pPr>
      <w:r>
        <w:rPr>
          <w:rFonts w:hint="eastAsia"/>
          <w:lang w:eastAsia="zh-CN"/>
        </w:rPr>
        <w:t>Datasets</w:t>
      </w:r>
    </w:p>
    <w:p w14:paraId="4030B594" w14:textId="3089411B" w:rsidR="009303D9" w:rsidRPr="00D97DD7" w:rsidRDefault="00B272CE" w:rsidP="00ED0149">
      <w:pPr>
        <w:pStyle w:val="Heading2"/>
      </w:pPr>
      <w:r>
        <w:rPr>
          <w:rFonts w:hint="eastAsia"/>
          <w:lang w:eastAsia="zh-CN"/>
        </w:rPr>
        <w:t>Source of dataset</w:t>
      </w:r>
    </w:p>
    <w:p w14:paraId="61A7D4D7" w14:textId="3C0B744D" w:rsidR="00614545" w:rsidRPr="00614545" w:rsidRDefault="00614545" w:rsidP="00614545">
      <w:pPr>
        <w:pStyle w:val="BodyText"/>
        <w:rPr>
          <w:lang w:val="en-US" w:eastAsia="zh-CN"/>
        </w:rPr>
      </w:pPr>
      <w:r>
        <w:rPr>
          <w:lang w:val="en-US" w:eastAsia="zh-CN"/>
        </w:rPr>
        <w:t>The datasets used in my analysis were sourced exclusively from official .gov websites to ensure a high base level of reliability as well as credibility with two sources coming from .org websites. The excel sheets containing the data were downloaded from agencies ranging from the U.S. Census Bureau, Bureau of Economic Analysis (BEA), to the World Bank Group to establish credibility for their comprehensive and accurate data collection methodologies from government-administered surveys and records to economic modeling</w:t>
      </w:r>
      <w:r w:rsidR="001E6651">
        <w:rPr>
          <w:lang w:val="en-US" w:eastAsia="zh-CN"/>
        </w:rPr>
        <w:t xml:space="preserve"> such as nationwide household surveys, labor force surveys, as well as standardized economic models</w:t>
      </w:r>
      <w:r>
        <w:rPr>
          <w:lang w:val="en-US" w:eastAsia="zh-CN"/>
        </w:rPr>
        <w:t xml:space="preserve">. </w:t>
      </w:r>
      <w:r w:rsidR="00651E0E">
        <w:rPr>
          <w:lang w:val="en-US" w:eastAsia="zh-CN"/>
        </w:rPr>
        <w:t xml:space="preserve">Most of the sources I </w:t>
      </w:r>
      <w:r w:rsidR="00651E0E">
        <w:rPr>
          <w:lang w:val="en-US" w:eastAsia="zh-CN"/>
        </w:rPr>
        <w:t xml:space="preserve">collected data from are from recent years (2023, 2024) </w:t>
      </w:r>
      <w:r w:rsidR="00352625">
        <w:rPr>
          <w:lang w:val="en-US" w:eastAsia="zh-CN"/>
        </w:rPr>
        <w:t>apart from</w:t>
      </w:r>
      <w:r w:rsidR="00651E0E">
        <w:rPr>
          <w:lang w:val="en-US" w:eastAsia="zh-CN"/>
        </w:rPr>
        <w:t xml:space="preserve"> </w:t>
      </w:r>
      <w:r w:rsidR="00352625">
        <w:rPr>
          <w:lang w:val="en-US" w:eastAsia="zh-CN"/>
        </w:rPr>
        <w:t xml:space="preserve">the World Bank Group source being collective from 1963 until 2022 to better calculate the Gini Index. Nonetheless, these sources are verified for accuracy and maintained by their respective </w:t>
      </w:r>
      <w:r w:rsidR="00EE00EA">
        <w:rPr>
          <w:lang w:val="en-US" w:eastAsia="zh-CN"/>
        </w:rPr>
        <w:t>agencies,</w:t>
      </w:r>
      <w:r w:rsidR="00352625">
        <w:rPr>
          <w:lang w:val="en-US" w:eastAsia="zh-CN"/>
        </w:rPr>
        <w:t xml:space="preserve"> which allows me to ensure consistency in data analysis. </w:t>
      </w:r>
    </w:p>
    <w:p w14:paraId="0E6DEF03" w14:textId="43893EF5" w:rsidR="009303D9" w:rsidRPr="00D97DD7" w:rsidRDefault="00D32DB9" w:rsidP="00ED0149">
      <w:pPr>
        <w:pStyle w:val="Heading2"/>
      </w:pPr>
      <w:r>
        <w:rPr>
          <w:rFonts w:hint="eastAsia"/>
          <w:lang w:eastAsia="zh-CN"/>
        </w:rPr>
        <w:t>Character of the datasets</w:t>
      </w:r>
    </w:p>
    <w:tbl>
      <w:tblPr>
        <w:tblStyle w:val="TableGrid"/>
        <w:tblW w:w="0pt" w:type="auto"/>
        <w:tblLook w:firstRow="1" w:lastRow="0" w:firstColumn="1" w:lastColumn="0" w:noHBand="0" w:noVBand="1"/>
      </w:tblPr>
      <w:tblGrid>
        <w:gridCol w:w="1618"/>
        <w:gridCol w:w="1619"/>
        <w:gridCol w:w="1619"/>
      </w:tblGrid>
      <w:tr w:rsidR="00271274" w14:paraId="6E3F037F" w14:textId="77777777" w:rsidTr="00271274">
        <w:tc>
          <w:tcPr>
            <w:tcW w:w="80.90pt" w:type="dxa"/>
          </w:tcPr>
          <w:p w14:paraId="48DF761E" w14:textId="43A6A142" w:rsidR="00271274" w:rsidRPr="009074F3" w:rsidRDefault="00271274" w:rsidP="009074F3">
            <w:pPr>
              <w:pStyle w:val="Heading6"/>
            </w:pPr>
            <w:r w:rsidRPr="009074F3">
              <w:t xml:space="preserve">Dataset </w:t>
            </w:r>
            <w:r w:rsidR="009074F3" w:rsidRPr="009074F3">
              <w:t>Types</w:t>
            </w:r>
          </w:p>
        </w:tc>
        <w:tc>
          <w:tcPr>
            <w:tcW w:w="80.95pt" w:type="dxa"/>
          </w:tcPr>
          <w:p w14:paraId="3FC32DAC" w14:textId="533B020C" w:rsidR="00271274" w:rsidRPr="009074F3" w:rsidRDefault="00271274" w:rsidP="009074F3">
            <w:pPr>
              <w:pStyle w:val="Heading6"/>
            </w:pPr>
            <w:r w:rsidRPr="009074F3">
              <w:t>Parameters</w:t>
            </w:r>
          </w:p>
        </w:tc>
        <w:tc>
          <w:tcPr>
            <w:tcW w:w="80.95pt" w:type="dxa"/>
          </w:tcPr>
          <w:p w14:paraId="3DBBF1FB" w14:textId="78D14963" w:rsidR="00271274" w:rsidRPr="009074F3" w:rsidRDefault="00271274" w:rsidP="009074F3">
            <w:pPr>
              <w:pStyle w:val="Heading6"/>
            </w:pPr>
            <w:r w:rsidRPr="009074F3">
              <w:t>Units</w:t>
            </w:r>
          </w:p>
        </w:tc>
      </w:tr>
      <w:tr w:rsidR="00271274" w14:paraId="50059EE6" w14:textId="77777777" w:rsidTr="00271274">
        <w:tc>
          <w:tcPr>
            <w:tcW w:w="80.90pt" w:type="dxa"/>
          </w:tcPr>
          <w:p w14:paraId="02760CC3" w14:textId="5F9100A9" w:rsidR="00271274" w:rsidRPr="009074F3" w:rsidRDefault="009074F3" w:rsidP="00D03374">
            <w:pPr>
              <w:pStyle w:val="BodyText"/>
              <w:ind w:firstLine="0pt"/>
              <w:rPr>
                <w:sz w:val="16"/>
                <w:szCs w:val="16"/>
                <w:lang w:val="en-US"/>
              </w:rPr>
            </w:pPr>
            <w:r w:rsidRPr="009074F3">
              <w:rPr>
                <w:sz w:val="16"/>
                <w:szCs w:val="16"/>
                <w:lang w:val="en-US"/>
              </w:rPr>
              <w:t>Census</w:t>
            </w:r>
          </w:p>
        </w:tc>
        <w:tc>
          <w:tcPr>
            <w:tcW w:w="80.95pt" w:type="dxa"/>
          </w:tcPr>
          <w:p w14:paraId="05D43E6E" w14:textId="7E3F873B" w:rsidR="00271274" w:rsidRPr="00624560" w:rsidRDefault="00624560" w:rsidP="009074F3">
            <w:pPr>
              <w:pStyle w:val="BodyText"/>
              <w:ind w:firstLine="0pt"/>
              <w:jc w:val="center"/>
              <w:rPr>
                <w:sz w:val="16"/>
                <w:szCs w:val="16"/>
                <w:lang w:val="en-US"/>
              </w:rPr>
            </w:pPr>
            <w:r w:rsidRPr="00624560">
              <w:rPr>
                <w:sz w:val="16"/>
                <w:szCs w:val="16"/>
                <w:lang w:val="en-US"/>
              </w:rPr>
              <w:t>Median income</w:t>
            </w:r>
          </w:p>
        </w:tc>
        <w:tc>
          <w:tcPr>
            <w:tcW w:w="80.95pt" w:type="dxa"/>
          </w:tcPr>
          <w:p w14:paraId="3A6BAE2C" w14:textId="324CF3AA" w:rsidR="00271274" w:rsidRPr="00624560" w:rsidRDefault="00624560" w:rsidP="009074F3">
            <w:pPr>
              <w:pStyle w:val="BodyText"/>
              <w:ind w:firstLine="0pt"/>
              <w:jc w:val="center"/>
              <w:rPr>
                <w:sz w:val="16"/>
                <w:szCs w:val="16"/>
                <w:lang w:val="en-US"/>
              </w:rPr>
            </w:pPr>
            <w:r>
              <w:rPr>
                <w:sz w:val="16"/>
                <w:szCs w:val="16"/>
                <w:lang w:val="en-US"/>
              </w:rPr>
              <w:t>USD, Ages, Percentage</w:t>
            </w:r>
          </w:p>
        </w:tc>
      </w:tr>
      <w:tr w:rsidR="00271274" w14:paraId="0083780F" w14:textId="77777777" w:rsidTr="00271274">
        <w:tc>
          <w:tcPr>
            <w:tcW w:w="80.90pt" w:type="dxa"/>
          </w:tcPr>
          <w:p w14:paraId="02ADAEB5" w14:textId="249FAAC8" w:rsidR="00271274" w:rsidRPr="009074F3" w:rsidRDefault="009074F3" w:rsidP="00D03374">
            <w:pPr>
              <w:pStyle w:val="BodyText"/>
              <w:ind w:firstLine="0pt"/>
              <w:rPr>
                <w:sz w:val="16"/>
                <w:szCs w:val="16"/>
                <w:lang w:val="en-US"/>
              </w:rPr>
            </w:pPr>
            <w:r w:rsidRPr="009074F3">
              <w:rPr>
                <w:sz w:val="16"/>
                <w:szCs w:val="16"/>
                <w:lang w:val="en-US"/>
              </w:rPr>
              <w:t>Employment</w:t>
            </w:r>
          </w:p>
        </w:tc>
        <w:tc>
          <w:tcPr>
            <w:tcW w:w="80.95pt" w:type="dxa"/>
          </w:tcPr>
          <w:p w14:paraId="5C13FE5D" w14:textId="07667551" w:rsidR="00271274" w:rsidRPr="00624560" w:rsidRDefault="006A2AAF" w:rsidP="009074F3">
            <w:pPr>
              <w:pStyle w:val="BodyText"/>
              <w:ind w:firstLine="0pt"/>
              <w:jc w:val="center"/>
              <w:rPr>
                <w:sz w:val="16"/>
                <w:szCs w:val="16"/>
                <w:lang w:val="en-US"/>
              </w:rPr>
            </w:pPr>
            <w:r>
              <w:rPr>
                <w:sz w:val="16"/>
                <w:szCs w:val="16"/>
                <w:lang w:val="en-US"/>
              </w:rPr>
              <w:t xml:space="preserve">Region, </w:t>
            </w:r>
            <w:r w:rsidR="00624560">
              <w:rPr>
                <w:sz w:val="16"/>
                <w:szCs w:val="16"/>
                <w:lang w:val="en-US"/>
              </w:rPr>
              <w:t>Weekly Wages</w:t>
            </w:r>
          </w:p>
        </w:tc>
        <w:tc>
          <w:tcPr>
            <w:tcW w:w="80.95pt" w:type="dxa"/>
          </w:tcPr>
          <w:p w14:paraId="061220DD" w14:textId="53EA1728" w:rsidR="00271274" w:rsidRPr="00624560" w:rsidRDefault="00624560" w:rsidP="009074F3">
            <w:pPr>
              <w:pStyle w:val="BodyText"/>
              <w:ind w:firstLine="0pt"/>
              <w:jc w:val="center"/>
              <w:rPr>
                <w:sz w:val="16"/>
                <w:szCs w:val="16"/>
                <w:lang w:val="en-US"/>
              </w:rPr>
            </w:pPr>
            <w:r>
              <w:rPr>
                <w:sz w:val="16"/>
                <w:szCs w:val="16"/>
                <w:lang w:val="en-US"/>
              </w:rPr>
              <w:t>USD</w:t>
            </w:r>
          </w:p>
        </w:tc>
      </w:tr>
      <w:tr w:rsidR="00271274" w14:paraId="7EC81B1A" w14:textId="77777777" w:rsidTr="00271274">
        <w:tc>
          <w:tcPr>
            <w:tcW w:w="80.90pt" w:type="dxa"/>
          </w:tcPr>
          <w:p w14:paraId="4EA18CA6" w14:textId="21745D9F" w:rsidR="00271274" w:rsidRPr="009074F3" w:rsidRDefault="009074F3" w:rsidP="00D03374">
            <w:pPr>
              <w:pStyle w:val="BodyText"/>
              <w:ind w:firstLine="0pt"/>
              <w:rPr>
                <w:sz w:val="16"/>
                <w:szCs w:val="16"/>
                <w:lang w:val="en-US"/>
              </w:rPr>
            </w:pPr>
            <w:r w:rsidRPr="009074F3">
              <w:rPr>
                <w:sz w:val="16"/>
                <w:szCs w:val="16"/>
                <w:lang w:val="en-US"/>
              </w:rPr>
              <w:t>GDP</w:t>
            </w:r>
          </w:p>
        </w:tc>
        <w:tc>
          <w:tcPr>
            <w:tcW w:w="80.95pt" w:type="dxa"/>
          </w:tcPr>
          <w:p w14:paraId="269D94CC" w14:textId="00AF664B" w:rsidR="00271274" w:rsidRPr="00624560" w:rsidRDefault="00624560" w:rsidP="009074F3">
            <w:pPr>
              <w:pStyle w:val="BodyText"/>
              <w:ind w:firstLine="0pt"/>
              <w:jc w:val="center"/>
              <w:rPr>
                <w:sz w:val="16"/>
                <w:szCs w:val="16"/>
                <w:lang w:val="en-US"/>
              </w:rPr>
            </w:pPr>
            <w:r>
              <w:rPr>
                <w:sz w:val="16"/>
                <w:szCs w:val="16"/>
                <w:lang w:val="en-US"/>
              </w:rPr>
              <w:t>Region, GDP</w:t>
            </w:r>
          </w:p>
        </w:tc>
        <w:tc>
          <w:tcPr>
            <w:tcW w:w="80.95pt" w:type="dxa"/>
          </w:tcPr>
          <w:p w14:paraId="066228E9" w14:textId="0AE7DD50" w:rsidR="00271274" w:rsidRPr="00624560" w:rsidRDefault="00624560" w:rsidP="009074F3">
            <w:pPr>
              <w:pStyle w:val="BodyText"/>
              <w:ind w:firstLine="0pt"/>
              <w:jc w:val="center"/>
              <w:rPr>
                <w:sz w:val="16"/>
                <w:szCs w:val="16"/>
                <w:lang w:val="en-US"/>
              </w:rPr>
            </w:pPr>
            <w:r>
              <w:rPr>
                <w:sz w:val="16"/>
                <w:szCs w:val="16"/>
                <w:lang w:val="en-US"/>
              </w:rPr>
              <w:t>USD, Percentage</w:t>
            </w:r>
          </w:p>
        </w:tc>
      </w:tr>
      <w:tr w:rsidR="00271274" w14:paraId="045CA5A9" w14:textId="77777777" w:rsidTr="00271274">
        <w:tc>
          <w:tcPr>
            <w:tcW w:w="80.90pt" w:type="dxa"/>
          </w:tcPr>
          <w:p w14:paraId="5DC4B7F1" w14:textId="0956F161" w:rsidR="00271274" w:rsidRPr="009074F3" w:rsidRDefault="009074F3" w:rsidP="00D03374">
            <w:pPr>
              <w:pStyle w:val="BodyText"/>
              <w:ind w:firstLine="0pt"/>
              <w:rPr>
                <w:sz w:val="16"/>
                <w:szCs w:val="16"/>
                <w:lang w:val="en-US"/>
              </w:rPr>
            </w:pPr>
            <w:r w:rsidRPr="009074F3">
              <w:rPr>
                <w:sz w:val="16"/>
                <w:szCs w:val="16"/>
                <w:lang w:val="en-US"/>
              </w:rPr>
              <w:t>Cost of Living Index</w:t>
            </w:r>
          </w:p>
        </w:tc>
        <w:tc>
          <w:tcPr>
            <w:tcW w:w="80.95pt" w:type="dxa"/>
          </w:tcPr>
          <w:p w14:paraId="5ED1905C" w14:textId="359455DD" w:rsidR="00271274" w:rsidRPr="00624560" w:rsidRDefault="0002672C" w:rsidP="009074F3">
            <w:pPr>
              <w:pStyle w:val="BodyText"/>
              <w:ind w:firstLine="0pt"/>
              <w:jc w:val="center"/>
              <w:rPr>
                <w:sz w:val="16"/>
                <w:szCs w:val="16"/>
                <w:lang w:val="en-US"/>
              </w:rPr>
            </w:pPr>
            <w:r>
              <w:rPr>
                <w:sz w:val="16"/>
                <w:szCs w:val="16"/>
                <w:lang w:val="en-US"/>
              </w:rPr>
              <w:t>Region, Living Index</w:t>
            </w:r>
          </w:p>
        </w:tc>
        <w:tc>
          <w:tcPr>
            <w:tcW w:w="80.95pt" w:type="dxa"/>
          </w:tcPr>
          <w:p w14:paraId="289C0445" w14:textId="7F3CFDA0" w:rsidR="00271274" w:rsidRPr="00624560" w:rsidRDefault="0002672C" w:rsidP="009074F3">
            <w:pPr>
              <w:pStyle w:val="BodyText"/>
              <w:ind w:firstLine="0pt"/>
              <w:jc w:val="center"/>
              <w:rPr>
                <w:sz w:val="16"/>
                <w:szCs w:val="16"/>
                <w:lang w:val="en-US"/>
              </w:rPr>
            </w:pPr>
            <w:r>
              <w:rPr>
                <w:sz w:val="16"/>
                <w:szCs w:val="16"/>
                <w:lang w:val="en-US"/>
              </w:rPr>
              <w:t>Index Value (0-200)</w:t>
            </w:r>
          </w:p>
        </w:tc>
      </w:tr>
      <w:tr w:rsidR="00271274" w14:paraId="099B91AB" w14:textId="77777777" w:rsidTr="00271274">
        <w:tc>
          <w:tcPr>
            <w:tcW w:w="80.90pt" w:type="dxa"/>
          </w:tcPr>
          <w:p w14:paraId="714BE8A8" w14:textId="1C8B105C" w:rsidR="00271274" w:rsidRPr="009074F3" w:rsidRDefault="009074F3" w:rsidP="00D03374">
            <w:pPr>
              <w:pStyle w:val="BodyText"/>
              <w:ind w:firstLine="0pt"/>
              <w:rPr>
                <w:sz w:val="16"/>
                <w:szCs w:val="16"/>
                <w:lang w:val="en-US"/>
              </w:rPr>
            </w:pPr>
            <w:r w:rsidRPr="009074F3">
              <w:rPr>
                <w:sz w:val="16"/>
                <w:szCs w:val="16"/>
                <w:lang w:val="en-US"/>
              </w:rPr>
              <w:t>Region Classification</w:t>
            </w:r>
          </w:p>
        </w:tc>
        <w:tc>
          <w:tcPr>
            <w:tcW w:w="80.95pt" w:type="dxa"/>
          </w:tcPr>
          <w:p w14:paraId="082971F1" w14:textId="56898E4E" w:rsidR="00271274" w:rsidRPr="00624560" w:rsidRDefault="0002672C" w:rsidP="009074F3">
            <w:pPr>
              <w:pStyle w:val="BodyText"/>
              <w:ind w:firstLine="0pt"/>
              <w:jc w:val="center"/>
              <w:rPr>
                <w:sz w:val="16"/>
                <w:szCs w:val="16"/>
                <w:lang w:val="en-US"/>
              </w:rPr>
            </w:pPr>
            <w:r>
              <w:rPr>
                <w:sz w:val="16"/>
                <w:szCs w:val="16"/>
                <w:lang w:val="en-US"/>
              </w:rPr>
              <w:t>Region, Classification</w:t>
            </w:r>
          </w:p>
        </w:tc>
        <w:tc>
          <w:tcPr>
            <w:tcW w:w="80.95pt" w:type="dxa"/>
          </w:tcPr>
          <w:p w14:paraId="3904D63C" w14:textId="4DC0CE4D" w:rsidR="00271274" w:rsidRPr="00624560" w:rsidRDefault="0002672C" w:rsidP="009074F3">
            <w:pPr>
              <w:pStyle w:val="BodyText"/>
              <w:ind w:firstLine="0pt"/>
              <w:jc w:val="center"/>
              <w:rPr>
                <w:sz w:val="16"/>
                <w:szCs w:val="16"/>
                <w:lang w:val="en-US"/>
              </w:rPr>
            </w:pPr>
            <w:r>
              <w:rPr>
                <w:sz w:val="16"/>
                <w:szCs w:val="16"/>
                <w:lang w:val="en-US"/>
              </w:rPr>
              <w:t>Categorical</w:t>
            </w:r>
          </w:p>
        </w:tc>
      </w:tr>
      <w:tr w:rsidR="00271274" w14:paraId="00217738" w14:textId="77777777" w:rsidTr="00271274">
        <w:tc>
          <w:tcPr>
            <w:tcW w:w="80.90pt" w:type="dxa"/>
          </w:tcPr>
          <w:p w14:paraId="303006BE" w14:textId="51E0AF86" w:rsidR="00271274" w:rsidRPr="009074F3" w:rsidRDefault="009074F3" w:rsidP="00D03374">
            <w:pPr>
              <w:pStyle w:val="BodyText"/>
              <w:ind w:firstLine="0pt"/>
              <w:rPr>
                <w:sz w:val="16"/>
                <w:szCs w:val="16"/>
                <w:lang w:val="en-US"/>
              </w:rPr>
            </w:pPr>
            <w:r w:rsidRPr="009074F3">
              <w:rPr>
                <w:sz w:val="16"/>
                <w:szCs w:val="16"/>
                <w:lang w:val="en-US"/>
              </w:rPr>
              <w:t>Income Inequality</w:t>
            </w:r>
          </w:p>
        </w:tc>
        <w:tc>
          <w:tcPr>
            <w:tcW w:w="80.95pt" w:type="dxa"/>
          </w:tcPr>
          <w:p w14:paraId="3D7F74A6" w14:textId="1A35EFA8" w:rsidR="00271274" w:rsidRPr="00624560" w:rsidRDefault="006A2AAF" w:rsidP="009074F3">
            <w:pPr>
              <w:pStyle w:val="BodyText"/>
              <w:ind w:firstLine="0pt"/>
              <w:jc w:val="center"/>
              <w:rPr>
                <w:sz w:val="16"/>
                <w:szCs w:val="16"/>
                <w:lang w:val="en-US"/>
              </w:rPr>
            </w:pPr>
            <w:r>
              <w:rPr>
                <w:sz w:val="16"/>
                <w:szCs w:val="16"/>
                <w:lang w:val="en-US"/>
              </w:rPr>
              <w:t>Region, Gini Coefficient</w:t>
            </w:r>
          </w:p>
        </w:tc>
        <w:tc>
          <w:tcPr>
            <w:tcW w:w="80.95pt" w:type="dxa"/>
          </w:tcPr>
          <w:p w14:paraId="5DAAE509" w14:textId="46ED8EA8" w:rsidR="00271274" w:rsidRPr="00624560" w:rsidRDefault="006A2AAF" w:rsidP="009074F3">
            <w:pPr>
              <w:pStyle w:val="BodyText"/>
              <w:ind w:firstLine="0pt"/>
              <w:jc w:val="center"/>
              <w:rPr>
                <w:sz w:val="16"/>
                <w:szCs w:val="16"/>
                <w:lang w:val="en-US"/>
              </w:rPr>
            </w:pPr>
            <w:r>
              <w:rPr>
                <w:sz w:val="16"/>
                <w:szCs w:val="16"/>
                <w:lang w:val="en-US"/>
              </w:rPr>
              <w:t>Index Value (0-50)</w:t>
            </w:r>
          </w:p>
        </w:tc>
      </w:tr>
    </w:tbl>
    <w:p w14:paraId="57ED8B0D" w14:textId="143BE4A9" w:rsidR="00D03374" w:rsidRPr="00D97DD7" w:rsidRDefault="00D03374" w:rsidP="00D03374">
      <w:pPr>
        <w:pStyle w:val="BodyText"/>
        <w:rPr>
          <w:lang w:val="en-US"/>
        </w:rPr>
      </w:pPr>
    </w:p>
    <w:p w14:paraId="3945A499" w14:textId="2A07B800" w:rsidR="00C4076F" w:rsidRPr="006A2AAF" w:rsidRDefault="00993F5D" w:rsidP="006A2AAF">
      <w:pPr>
        <w:pStyle w:val="Heading1"/>
      </w:pPr>
      <w:r>
        <w:rPr>
          <w:rFonts w:hint="eastAsia"/>
          <w:lang w:eastAsia="zh-CN"/>
        </w:rPr>
        <w:t>Methodology</w:t>
      </w:r>
    </w:p>
    <w:p w14:paraId="46EB2232" w14:textId="602E1395" w:rsidR="00F6512D" w:rsidRPr="00F6512D" w:rsidRDefault="00693C64" w:rsidP="00F6512D">
      <w:pPr>
        <w:pStyle w:val="Heading2"/>
      </w:pPr>
      <w:r>
        <w:rPr>
          <w:lang w:eastAsia="zh-CN"/>
        </w:rPr>
        <w:t>Dual Metric Visualization across States</w:t>
      </w:r>
    </w:p>
    <w:p w14:paraId="4772CE4F" w14:textId="77777777" w:rsidR="005866B7" w:rsidRDefault="00F6512D" w:rsidP="00F6512D">
      <w:pPr>
        <w:pStyle w:val="BodyText"/>
        <w:ind w:firstLine="0pt"/>
        <w:rPr>
          <w:lang w:val="en-US"/>
        </w:rPr>
      </w:pPr>
      <w:r>
        <w:rPr>
          <w:lang w:val="en-US"/>
        </w:rPr>
        <w:tab/>
        <w:t>The goal is to obtain visualization of regional disparities involving income and more specifically, its weekly wages using GeoPandas</w:t>
      </w:r>
      <w:r w:rsidR="00112182">
        <w:rPr>
          <w:lang w:val="en-US"/>
        </w:rPr>
        <w:t>, and Matplotlib</w:t>
      </w:r>
    </w:p>
    <w:p w14:paraId="05301E2B" w14:textId="1A6174B5" w:rsidR="00112182" w:rsidRDefault="005866B7" w:rsidP="00F6512D">
      <w:pPr>
        <w:pStyle w:val="BodyText"/>
        <w:ind w:firstLine="0pt"/>
        <w:rPr>
          <w:lang w:val="en-US"/>
        </w:rPr>
      </w:pPr>
      <w:r>
        <w:rPr>
          <w:lang w:val="en-US"/>
        </w:rPr>
        <w:tab/>
      </w:r>
      <w:r w:rsidR="00112182">
        <w:rPr>
          <w:lang w:val="en-US"/>
        </w:rPr>
        <w:t>My primary assumption for going with this method is that it’ll be able to express a key data point to be used later for calculations depending on concluding results but also for the advantages of highlighting the economic inequalities across the U.S. and the trends associated with it. However, through this method, it doesn’t require too much of in-depth statistical analysis.</w:t>
      </w:r>
    </w:p>
    <w:p w14:paraId="56DC60A0" w14:textId="57C5EBBF" w:rsidR="00EB34F4" w:rsidRPr="00EB34F4" w:rsidRDefault="00112182" w:rsidP="00112182">
      <w:pPr>
        <w:pStyle w:val="BodyText"/>
        <w:ind w:firstLine="0pt"/>
        <w:jc w:val="center"/>
        <w:rPr>
          <w:sz w:val="12"/>
          <w:szCs w:val="12"/>
          <w:lang w:val="en-US"/>
        </w:rPr>
      </w:pPr>
      <m:oMathPara>
        <m:oMath>
          <m:r>
            <w:rPr>
              <w:rFonts w:ascii="Cambria Math" w:hAnsi="Cambria Math"/>
              <w:sz w:val="12"/>
              <w:szCs w:val="12"/>
              <w:lang w:val="en-US"/>
            </w:rPr>
            <m:t>Normalized Value</m:t>
          </m:r>
          <m:r>
            <w:rPr>
              <w:rFonts w:ascii="Cambria Math" w:hAnsi="Cambria Math"/>
              <w:sz w:val="12"/>
              <w:szCs w:val="12"/>
              <w:lang w:val="en-US"/>
            </w:rPr>
            <m:t xml:space="preserve"> for C.O.L and Weekly Wages </m:t>
          </m:r>
          <m:r>
            <w:rPr>
              <w:rFonts w:ascii="Cambria Math" w:hAnsi="Cambria Math"/>
              <w:sz w:val="12"/>
              <w:szCs w:val="12"/>
              <w:lang w:val="en-US"/>
            </w:rPr>
            <m:t xml:space="preserve">= </m:t>
          </m:r>
          <m:f>
            <m:fPr>
              <m:ctrlPr>
                <w:rPr>
                  <w:rFonts w:ascii="Cambria Math" w:hAnsi="Cambria Math"/>
                  <w:i/>
                  <w:sz w:val="12"/>
                  <w:szCs w:val="12"/>
                  <w:lang w:val="en-US"/>
                </w:rPr>
              </m:ctrlPr>
            </m:fPr>
            <m:num>
              <m:r>
                <w:rPr>
                  <w:rFonts w:ascii="Cambria Math" w:hAnsi="Cambria Math"/>
                  <w:sz w:val="12"/>
                  <w:szCs w:val="12"/>
                  <w:lang w:val="en-US"/>
                </w:rPr>
                <m:t>Current Value-Minimum Value</m:t>
              </m:r>
            </m:num>
            <m:den>
              <m:r>
                <w:rPr>
                  <w:rFonts w:ascii="Cambria Math" w:hAnsi="Cambria Math"/>
                  <w:sz w:val="12"/>
                  <w:szCs w:val="12"/>
                  <w:lang w:val="en-US"/>
                </w:rPr>
                <m:t>Maximum Value-Minimum Value</m:t>
              </m:r>
            </m:den>
          </m:f>
        </m:oMath>
      </m:oMathPara>
    </w:p>
    <w:p w14:paraId="76BD2607" w14:textId="77777777" w:rsidR="00EB34F4" w:rsidRPr="00EB34F4" w:rsidRDefault="00EB34F4" w:rsidP="00112182">
      <w:pPr>
        <w:pStyle w:val="BodyText"/>
        <w:ind w:firstLine="0pt"/>
        <w:jc w:val="center"/>
        <w:rPr>
          <w:sz w:val="12"/>
          <w:szCs w:val="12"/>
          <w:lang w:val="en-US"/>
        </w:rPr>
      </w:pPr>
    </w:p>
    <w:p w14:paraId="638EC72C" w14:textId="3BCFE410" w:rsidR="00112182" w:rsidRPr="00112182" w:rsidRDefault="00EB34F4" w:rsidP="00112182">
      <w:pPr>
        <w:pStyle w:val="BodyText"/>
        <w:ind w:firstLine="0pt"/>
        <w:jc w:val="center"/>
        <w:rPr>
          <w:sz w:val="14"/>
          <w:szCs w:val="14"/>
          <w:lang w:val="en-US"/>
        </w:rPr>
      </w:pPr>
      <m:oMathPara>
        <m:oMath>
          <m:r>
            <w:rPr>
              <w:rFonts w:ascii="Cambria Math" w:hAnsi="Cambria Math"/>
              <w:sz w:val="12"/>
              <w:szCs w:val="12"/>
              <w:lang w:val="en-US"/>
            </w:rPr>
            <m:t xml:space="preserve">Cost Of Living and Wages Ratio= </m:t>
          </m:r>
          <m:f>
            <m:fPr>
              <m:ctrlPr>
                <w:rPr>
                  <w:rFonts w:ascii="Cambria Math" w:hAnsi="Cambria Math"/>
                  <w:i/>
                  <w:sz w:val="12"/>
                  <w:szCs w:val="12"/>
                  <w:lang w:val="en-US"/>
                </w:rPr>
              </m:ctrlPr>
            </m:fPr>
            <m:num>
              <m:r>
                <w:rPr>
                  <w:rFonts w:ascii="Cambria Math" w:hAnsi="Cambria Math"/>
                  <w:sz w:val="12"/>
                  <w:szCs w:val="12"/>
                  <w:lang w:val="en-US"/>
                </w:rPr>
                <m:t>Normalized Cost of Living</m:t>
              </m:r>
            </m:num>
            <m:den>
              <m:r>
                <w:rPr>
                  <w:rFonts w:ascii="Cambria Math" w:hAnsi="Cambria Math"/>
                  <w:sz w:val="12"/>
                  <w:szCs w:val="12"/>
                  <w:lang w:val="en-US"/>
                </w:rPr>
                <m:t>Normalized Weekly Wages</m:t>
              </m:r>
            </m:den>
          </m:f>
          <m:r>
            <w:rPr>
              <w:sz w:val="14"/>
              <w:szCs w:val="14"/>
              <w:lang w:val="en-US"/>
            </w:rPr>
            <w:br/>
          </m:r>
        </m:oMath>
      </m:oMathPara>
    </w:p>
    <w:p w14:paraId="4C0F9B0D" w14:textId="121082E1" w:rsidR="009303D9" w:rsidRDefault="005866B7" w:rsidP="00ED0149">
      <w:pPr>
        <w:pStyle w:val="Heading2"/>
        <w:rPr>
          <w:lang w:eastAsia="zh-CN"/>
        </w:rPr>
      </w:pPr>
      <w:r>
        <w:rPr>
          <w:lang w:eastAsia="zh-CN"/>
        </w:rPr>
        <w:t>Clustering</w:t>
      </w:r>
    </w:p>
    <w:p w14:paraId="4E98681C" w14:textId="499B70EF" w:rsidR="005866B7" w:rsidRDefault="005866B7" w:rsidP="005866B7">
      <w:pPr>
        <w:ind w:firstLine="14.40pt"/>
        <w:jc w:val="both"/>
        <w:rPr>
          <w:lang w:eastAsia="zh-CN"/>
        </w:rPr>
      </w:pPr>
      <w:r>
        <w:rPr>
          <w:lang w:eastAsia="zh-CN"/>
        </w:rPr>
        <w:t xml:space="preserve">The purpose is to segment the regions into their respective clusters using K-Means, by finding similar regions based on shared economic traits or rather come to the solution </w:t>
      </w:r>
      <w:r w:rsidR="006B37C8">
        <w:rPr>
          <w:lang w:eastAsia="zh-CN"/>
        </w:rPr>
        <w:t>each region can ultimately be grouped altogether as one</w:t>
      </w:r>
      <w:r>
        <w:rPr>
          <w:lang w:eastAsia="zh-CN"/>
        </w:rPr>
        <w:t xml:space="preserve">. </w:t>
      </w:r>
    </w:p>
    <w:p w14:paraId="783C5195" w14:textId="18DB86F2" w:rsidR="00112182" w:rsidRDefault="005866B7" w:rsidP="005866B7">
      <w:pPr>
        <w:ind w:firstLine="14.40pt"/>
        <w:jc w:val="both"/>
        <w:rPr>
          <w:lang w:eastAsia="zh-CN"/>
        </w:rPr>
      </w:pPr>
      <w:r>
        <w:rPr>
          <w:lang w:eastAsia="zh-CN"/>
        </w:rPr>
        <w:t>The main advantage will provide me with objective groupings for further analysis, however the disadvantage relies on if there are enough number of clusters (k) to comfortably continue.</w:t>
      </w:r>
    </w:p>
    <w:p w14:paraId="516C5867" w14:textId="0A1A3913" w:rsidR="005866B7" w:rsidRPr="00112182" w:rsidRDefault="005866B7" w:rsidP="005866B7">
      <w:pPr>
        <w:ind w:firstLine="14.40pt"/>
        <w:jc w:val="both"/>
        <w:rPr>
          <w:lang w:eastAsia="zh-CN"/>
        </w:rPr>
      </w:pPr>
      <w:r>
        <w:rPr>
          <w:lang w:eastAsia="zh-CN"/>
        </w:rPr>
        <w:t>The main Python tool to utilize this method will be coming from “</w:t>
      </w:r>
      <w:r w:rsidRPr="006B37C8">
        <w:rPr>
          <w:i/>
          <w:iCs/>
          <w:lang w:eastAsia="zh-CN"/>
        </w:rPr>
        <w:t>sklearn.cluster.KMeans</w:t>
      </w:r>
      <w:r>
        <w:rPr>
          <w:lang w:eastAsia="zh-CN"/>
        </w:rPr>
        <w:t>”.</w:t>
      </w:r>
    </w:p>
    <w:p w14:paraId="45394D5A" w14:textId="1C88CCB3" w:rsidR="009303D9" w:rsidRPr="00FD3EEB" w:rsidRDefault="00B10A14" w:rsidP="00FD3EEB">
      <w:pPr>
        <w:pStyle w:val="Heading1"/>
      </w:pPr>
      <w:r>
        <w:rPr>
          <w:rFonts w:hint="eastAsia"/>
          <w:lang w:eastAsia="zh-CN"/>
        </w:rPr>
        <w:lastRenderedPageBreak/>
        <w:t>Results</w:t>
      </w:r>
    </w:p>
    <w:p w14:paraId="425954EE" w14:textId="323163A1" w:rsidR="009303D9" w:rsidRDefault="00693C64" w:rsidP="00ED0149">
      <w:pPr>
        <w:pStyle w:val="Heading2"/>
        <w:rPr>
          <w:lang w:eastAsia="zh-CN"/>
        </w:rPr>
      </w:pPr>
      <w:r>
        <w:rPr>
          <w:lang w:eastAsia="zh-CN"/>
        </w:rPr>
        <w:t>Income to Wage Affordability Ratio Visualization</w:t>
      </w:r>
    </w:p>
    <w:p w14:paraId="2EBBC99F" w14:textId="64734140" w:rsidR="00693C64" w:rsidRDefault="005C5CB1" w:rsidP="005C5CB1">
      <w:pPr>
        <w:rPr>
          <w:lang w:eastAsia="zh-CN"/>
        </w:rPr>
      </w:pPr>
      <w:r>
        <w:rPr>
          <w:noProof/>
        </w:rPr>
        <w:drawing>
          <wp:inline distT="0" distB="0" distL="0" distR="0" wp14:anchorId="3268E695" wp14:editId="5A93B96A">
            <wp:extent cx="3089910" cy="2050415"/>
            <wp:effectExtent l="0" t="0" r="0" b="6985"/>
            <wp:docPr id="386186151" name="Picture 6" descr="A blue and black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6186151" name="Picture 6" descr="A blue and black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50415"/>
                    </a:xfrm>
                    <a:prstGeom prst="rect">
                      <a:avLst/>
                    </a:prstGeom>
                    <a:noFill/>
                    <a:ln>
                      <a:noFill/>
                    </a:ln>
                  </pic:spPr>
                </pic:pic>
              </a:graphicData>
            </a:graphic>
          </wp:inline>
        </w:drawing>
      </w:r>
    </w:p>
    <w:p w14:paraId="156D4D5E" w14:textId="09C08F9E" w:rsidR="00693C64" w:rsidRDefault="00110A3D" w:rsidP="00693C64">
      <w:pPr>
        <w:rPr>
          <w:i/>
          <w:iCs/>
          <w:lang w:eastAsia="zh-CN"/>
        </w:rPr>
      </w:pPr>
      <w:r>
        <w:rPr>
          <w:i/>
          <w:iCs/>
          <w:lang w:eastAsia="zh-CN"/>
        </w:rPr>
        <w:t xml:space="preserve">Bar graph </w:t>
      </w:r>
      <w:r w:rsidR="00693C64">
        <w:rPr>
          <w:i/>
          <w:iCs/>
          <w:lang w:eastAsia="zh-CN"/>
        </w:rPr>
        <w:t>generated from calculated analysis of income and weekly wages throughout the U.S states</w:t>
      </w:r>
    </w:p>
    <w:p w14:paraId="748EDF80" w14:textId="77777777" w:rsidR="00693C64" w:rsidRDefault="00693C64" w:rsidP="00FD3EEB">
      <w:pPr>
        <w:jc w:val="start"/>
        <w:rPr>
          <w:i/>
          <w:iCs/>
          <w:lang w:eastAsia="zh-CN"/>
        </w:rPr>
      </w:pPr>
    </w:p>
    <w:p w14:paraId="08493851" w14:textId="7C023D0F" w:rsidR="00296AE8" w:rsidRPr="00693C64" w:rsidRDefault="00693C64" w:rsidP="00296AE8">
      <w:pPr>
        <w:ind w:firstLine="14.40pt"/>
        <w:jc w:val="start"/>
        <w:rPr>
          <w:lang w:eastAsia="zh-CN"/>
        </w:rPr>
      </w:pPr>
      <w:r>
        <w:rPr>
          <w:lang w:eastAsia="zh-CN"/>
        </w:rPr>
        <w:t xml:space="preserve">This graph comes from the calculated formula of normalized cost of living to the normalized mean weekly wages to determine a ratio that would define each state’s ratio of being affordable for the average citizen in their respective state. It’s important to note that the states with scores closer to 0.0 would mean that they’re more affordable as their wages better </w:t>
      </w:r>
      <w:r w:rsidR="00FD3EEB">
        <w:rPr>
          <w:lang w:eastAsia="zh-CN"/>
        </w:rPr>
        <w:t>resemble</w:t>
      </w:r>
      <w:r>
        <w:rPr>
          <w:lang w:eastAsia="zh-CN"/>
        </w:rPr>
        <w:t xml:space="preserve"> their cost of living</w:t>
      </w:r>
      <w:r w:rsidR="00FD3EEB">
        <w:rPr>
          <w:lang w:eastAsia="zh-CN"/>
        </w:rPr>
        <w:t>. This means the latter when looking at states with a much higher calculated value of affordability ratio, that are less affordable, indicative of living expenses that cannot be kept up with given their weekly wages.</w:t>
      </w:r>
    </w:p>
    <w:p w14:paraId="637945EF" w14:textId="3201AD34" w:rsidR="009303D9" w:rsidRDefault="00FD3EEB" w:rsidP="00ED0149">
      <w:pPr>
        <w:pStyle w:val="Heading2"/>
        <w:rPr>
          <w:lang w:eastAsia="zh-CN"/>
        </w:rPr>
      </w:pPr>
      <w:r>
        <w:rPr>
          <w:lang w:eastAsia="zh-CN"/>
        </w:rPr>
        <w:t>Clustering Results</w:t>
      </w:r>
    </w:p>
    <w:p w14:paraId="62BD49AE" w14:textId="7CED6D25" w:rsidR="00296AE8" w:rsidRDefault="00FD3EEB" w:rsidP="00296AE8">
      <w:pPr>
        <w:ind w:firstLine="14.40pt"/>
        <w:jc w:val="both"/>
        <w:rPr>
          <w:lang w:eastAsia="zh-CN"/>
        </w:rPr>
      </w:pPr>
      <w:r>
        <w:rPr>
          <w:lang w:eastAsia="zh-CN"/>
        </w:rPr>
        <w:t xml:space="preserve">To first understand the methodology of the clustering scatter plot, it is crucial to understand where the number of optimal clusters to sort the states into, comes from. There is an Elbow Method [3] </w:t>
      </w:r>
      <w:r w:rsidR="00296AE8">
        <w:rPr>
          <w:lang w:eastAsia="zh-CN"/>
        </w:rPr>
        <w:t>that identifies a point where the rate of decrease within a cluster’s sum of squares changes sharply indicating that any more clusters after that point, would be ineffective and yield diminishing results. This “elbow” point is what determines the most effective clusters to utilize for a dataset.</w:t>
      </w:r>
    </w:p>
    <w:p w14:paraId="629BB461" w14:textId="77777777" w:rsidR="00296AE8" w:rsidRDefault="00296AE8" w:rsidP="00FD3EEB">
      <w:pPr>
        <w:jc w:val="both"/>
        <w:rPr>
          <w:lang w:eastAsia="zh-CN"/>
        </w:rPr>
      </w:pPr>
    </w:p>
    <w:p w14:paraId="32E72446" w14:textId="58F89390" w:rsidR="00296AE8" w:rsidRDefault="00296AE8" w:rsidP="005C5CB1">
      <w:pPr>
        <w:rPr>
          <w:lang w:eastAsia="zh-CN"/>
        </w:rPr>
      </w:pPr>
      <w:r>
        <w:rPr>
          <w:noProof/>
        </w:rPr>
        <w:drawing>
          <wp:inline distT="0" distB="0" distL="0" distR="0" wp14:anchorId="72059470" wp14:editId="254A5365">
            <wp:extent cx="2523744" cy="1680940"/>
            <wp:effectExtent l="0" t="0" r="0" b="0"/>
            <wp:docPr id="1472578321" name="Picture 4" descr="A graph with a dott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2578321" name="Picture 4" descr="A graph with a dotted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41" cy="1684135"/>
                    </a:xfrm>
                    <a:prstGeom prst="rect">
                      <a:avLst/>
                    </a:prstGeom>
                    <a:noFill/>
                    <a:ln>
                      <a:noFill/>
                    </a:ln>
                  </pic:spPr>
                </pic:pic>
              </a:graphicData>
            </a:graphic>
          </wp:inline>
        </w:drawing>
      </w:r>
    </w:p>
    <w:p w14:paraId="2DAC7D38" w14:textId="63E66235" w:rsidR="00296AE8" w:rsidRDefault="00296AE8" w:rsidP="00296AE8">
      <w:pPr>
        <w:rPr>
          <w:i/>
          <w:iCs/>
          <w:lang w:eastAsia="zh-CN"/>
        </w:rPr>
      </w:pPr>
      <w:r>
        <w:rPr>
          <w:i/>
          <w:iCs/>
          <w:lang w:eastAsia="zh-CN"/>
        </w:rPr>
        <w:t>Graph generated from calculated analysis of sampling a range of 1-10 clusters</w:t>
      </w:r>
    </w:p>
    <w:p w14:paraId="311620AE" w14:textId="77777777" w:rsidR="00296AE8" w:rsidRDefault="00296AE8" w:rsidP="00296AE8">
      <w:pPr>
        <w:rPr>
          <w:i/>
          <w:iCs/>
          <w:lang w:eastAsia="zh-CN"/>
        </w:rPr>
      </w:pPr>
    </w:p>
    <w:p w14:paraId="7AE2311F" w14:textId="57112B0B" w:rsidR="00296AE8" w:rsidRDefault="00296AE8" w:rsidP="00110A3D">
      <w:pPr>
        <w:ind w:firstLine="36pt"/>
        <w:jc w:val="start"/>
        <w:rPr>
          <w:lang w:eastAsia="zh-CN"/>
        </w:rPr>
      </w:pPr>
      <w:r>
        <w:rPr>
          <w:lang w:eastAsia="zh-CN"/>
        </w:rPr>
        <w:t>Given the answer of “3” being the most effective number to divide the states amongst, all that is left is to make a scatter plot visualizing the clusters with black centroids as “X”.</w:t>
      </w:r>
    </w:p>
    <w:p w14:paraId="53DD42EE" w14:textId="77777777" w:rsidR="00296AE8" w:rsidRDefault="00296AE8" w:rsidP="00296AE8">
      <w:pPr>
        <w:rPr>
          <w:lang w:eastAsia="zh-CN"/>
        </w:rPr>
      </w:pPr>
    </w:p>
    <w:p w14:paraId="3730EAA3" w14:textId="02C56DB9" w:rsidR="00296AE8" w:rsidRDefault="00296AE8" w:rsidP="005C5CB1">
      <w:pPr>
        <w:rPr>
          <w:lang w:eastAsia="zh-CN"/>
        </w:rPr>
      </w:pPr>
      <w:r>
        <w:rPr>
          <w:noProof/>
        </w:rPr>
        <w:drawing>
          <wp:inline distT="0" distB="0" distL="0" distR="0" wp14:anchorId="64FF8C50" wp14:editId="22E403A0">
            <wp:extent cx="2789014" cy="1850745"/>
            <wp:effectExtent l="0" t="0" r="0" b="0"/>
            <wp:docPr id="2129543142" name="Picture 5" descr="A screen 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9543142" name="Picture 5" descr="A screen 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747" cy="1852558"/>
                    </a:xfrm>
                    <a:prstGeom prst="rect">
                      <a:avLst/>
                    </a:prstGeom>
                    <a:noFill/>
                    <a:ln>
                      <a:noFill/>
                    </a:ln>
                  </pic:spPr>
                </pic:pic>
              </a:graphicData>
            </a:graphic>
          </wp:inline>
        </w:drawing>
      </w:r>
    </w:p>
    <w:p w14:paraId="73D19D78" w14:textId="7EC69235" w:rsidR="00296AE8" w:rsidRDefault="00296AE8" w:rsidP="00296AE8">
      <w:pPr>
        <w:rPr>
          <w:i/>
          <w:iCs/>
          <w:lang w:eastAsia="zh-CN"/>
        </w:rPr>
      </w:pPr>
      <w:r>
        <w:rPr>
          <w:i/>
          <w:iCs/>
          <w:lang w:eastAsia="zh-CN"/>
        </w:rPr>
        <w:t>Scatter plot generated from taking the states and dividing up amongst 3 clusters</w:t>
      </w:r>
    </w:p>
    <w:p w14:paraId="003656F1" w14:textId="77777777" w:rsidR="00110A3D" w:rsidRDefault="00110A3D" w:rsidP="00296AE8">
      <w:pPr>
        <w:rPr>
          <w:i/>
          <w:iCs/>
          <w:lang w:eastAsia="zh-CN"/>
        </w:rPr>
      </w:pPr>
    </w:p>
    <w:p w14:paraId="2EAC3D8F" w14:textId="46DBC1C8" w:rsidR="00110A3D" w:rsidRPr="00110A3D" w:rsidRDefault="00110A3D" w:rsidP="00110A3D">
      <w:pPr>
        <w:ind w:firstLine="14.40pt"/>
        <w:jc w:val="start"/>
        <w:rPr>
          <w:lang w:eastAsia="zh-CN"/>
        </w:rPr>
      </w:pPr>
      <w:r>
        <w:rPr>
          <w:lang w:eastAsia="zh-CN"/>
        </w:rPr>
        <w:t>With this graph, we can see the keys indicating Clusters 0,</w:t>
      </w:r>
      <w:r w:rsidR="00B86911">
        <w:rPr>
          <w:lang w:eastAsia="zh-CN"/>
        </w:rPr>
        <w:t xml:space="preserve"> </w:t>
      </w:r>
      <w:r>
        <w:rPr>
          <w:lang w:eastAsia="zh-CN"/>
        </w:rPr>
        <w:t xml:space="preserve">1, and 2 with centroids representing the average position of states within each cluster. Cluster 0 is indicative of states with lower affordability ratios and moderate to high weekly wages, boasting the “good” states. Cluster 1 is indicative of high affordability ratios but with mediocre weekly wages, revealing states with high costs of living relative to their wages. Lastly, Cluster 2 is indicative of state(s) with very low wages but is balanced out by lower costs of living as well to offset the low wages. </w:t>
      </w:r>
    </w:p>
    <w:p w14:paraId="7E9BCF18" w14:textId="77777777" w:rsidR="00296AE8" w:rsidRPr="00FD3EEB" w:rsidRDefault="00296AE8" w:rsidP="00FD3EEB">
      <w:pPr>
        <w:jc w:val="both"/>
        <w:rPr>
          <w:lang w:eastAsia="zh-CN"/>
        </w:rPr>
      </w:pPr>
    </w:p>
    <w:p w14:paraId="75B142C7" w14:textId="5233DCC4" w:rsidR="00EA7421" w:rsidRDefault="00C10EEC" w:rsidP="00EA7421">
      <w:pPr>
        <w:pStyle w:val="Heading1"/>
        <w:rPr>
          <w:lang w:eastAsia="zh-CN"/>
        </w:rPr>
      </w:pPr>
      <w:r>
        <w:rPr>
          <w:rFonts w:hint="eastAsia"/>
          <w:lang w:eastAsia="zh-CN"/>
        </w:rPr>
        <w:t>Discussion</w:t>
      </w:r>
    </w:p>
    <w:p w14:paraId="312C5C10" w14:textId="7BEE986A" w:rsidR="00A62444" w:rsidRPr="00A62444" w:rsidRDefault="00304194" w:rsidP="00337415">
      <w:pPr>
        <w:pStyle w:val="BodyText"/>
        <w:rPr>
          <w:lang w:eastAsia="zh-CN"/>
        </w:rPr>
      </w:pPr>
      <w:r>
        <w:rPr>
          <w:lang w:val="en-US" w:eastAsia="zh-CN"/>
        </w:rPr>
        <w:t xml:space="preserve">The weakness that I’m unsatisfied with is personally myself. I hadn’t checked the submission date for 2 weeks, confident in hearing a classmate say that it was </w:t>
      </w:r>
      <w:r w:rsidR="00D6475E">
        <w:rPr>
          <w:lang w:val="en-US" w:eastAsia="zh-CN"/>
        </w:rPr>
        <w:t>due on</w:t>
      </w:r>
      <w:r>
        <w:rPr>
          <w:lang w:val="en-US" w:eastAsia="zh-CN"/>
        </w:rPr>
        <w:t xml:space="preserve"> the 11</w:t>
      </w:r>
      <w:r w:rsidRPr="00D6475E">
        <w:rPr>
          <w:vertAlign w:val="superscript"/>
          <w:lang w:val="en-US" w:eastAsia="zh-CN"/>
        </w:rPr>
        <w:t>th</w:t>
      </w:r>
      <w:r w:rsidR="00D6475E">
        <w:rPr>
          <w:lang w:val="en-US" w:eastAsia="zh-CN"/>
        </w:rPr>
        <w:t xml:space="preserve">. I had a regression model planned to better show efforts of the learnings of data science and wanted to seriously apply it to this to show off the fruits of my labor, but it didn’t go as planned. For future work, I will be keeping an active reminder in front of my face at all times of due dates. As for the data, I would’ve also enjoyed figuring out a way to implement a heatmap that colormaps the states according to whatever index range I’d customize it for. I’d have some kind of basis heatmap to tinker with as opposed to being unprepared.  As for the methodologies, while it was fun to implement the graphs I had, I wanted more time to be able to implement more key factors into them rather than stick with three of my sources and see how that possibly plays a role in affecting the discoveries of economic inequalities such as the Gini coefficient or the GDP of each state. </w:t>
      </w:r>
    </w:p>
    <w:p w14:paraId="36BB6787" w14:textId="5D4F50CD" w:rsidR="00BF7B0B" w:rsidRPr="00B86911" w:rsidRDefault="00C10EEC" w:rsidP="00B86911">
      <w:pPr>
        <w:pStyle w:val="Heading1"/>
      </w:pPr>
      <w:r>
        <w:rPr>
          <w:rFonts w:hint="eastAsia"/>
          <w:lang w:eastAsia="zh-CN"/>
        </w:rPr>
        <w:t>Conclusion</w:t>
      </w:r>
    </w:p>
    <w:p w14:paraId="53481916" w14:textId="58123F52" w:rsidR="00A62444" w:rsidRDefault="00C0082F" w:rsidP="00A62444">
      <w:pPr>
        <w:pStyle w:val="BodyText"/>
        <w:rPr>
          <w:lang w:val="en-US" w:eastAsia="zh-CN"/>
        </w:rPr>
      </w:pPr>
      <w:r>
        <w:rPr>
          <w:lang w:val="en-US" w:eastAsia="zh-CN"/>
        </w:rPr>
        <w:t xml:space="preserve">The important results that I gathered from </w:t>
      </w:r>
      <w:r w:rsidR="00B6050A">
        <w:rPr>
          <w:lang w:val="en-US" w:eastAsia="zh-CN"/>
        </w:rPr>
        <w:t xml:space="preserve">this relate to possibly State policy regulations and the possible negative effects on individual citizens. The Affordability Ratio that I had determined revealed many states with a low ratio, most likely indicating a smoother life experience without dramatic highs and lows of the economic policies, but it also determined the states with high ratios, pointing to the conclusion that quality of life isn’t as best as it can be as the wages earned still do not mean anything to the costs of living associated within their state. This could mean several wide variables or explanations, however one that it does entail is that the average citizen would have to work two jobs to better combat the living costs in their respective state based on 40-hour work weeks, which through that, can cause ripple effects of large-scale reactions. Further real-world effects can be large-scale </w:t>
      </w:r>
      <w:r w:rsidR="00B6050A">
        <w:rPr>
          <w:lang w:val="en-US" w:eastAsia="zh-CN"/>
        </w:rPr>
        <w:lastRenderedPageBreak/>
        <w:t xml:space="preserve">migrations to states with much more manageable living costs relative to their paid wages or higher affordability ratio states having to dramatically emphasize workforce shortages or wealth inequality relative to housing costs and stagnant wages. </w:t>
      </w:r>
    </w:p>
    <w:p w14:paraId="0868ADD6" w14:textId="5FC87353" w:rsidR="00B6050A" w:rsidRPr="00A62444" w:rsidRDefault="00B6050A" w:rsidP="00A62444">
      <w:pPr>
        <w:pStyle w:val="BodyText"/>
        <w:rPr>
          <w:lang w:eastAsia="zh-CN"/>
        </w:rPr>
      </w:pPr>
      <w:r>
        <w:rPr>
          <w:lang w:val="en-US" w:eastAsia="zh-CN"/>
        </w:rPr>
        <w:t xml:space="preserve">Overall, it signifies that essentially half of the U.S is encroaching on the limit of </w:t>
      </w:r>
      <w:r w:rsidR="00B86911">
        <w:rPr>
          <w:lang w:val="en-US" w:eastAsia="zh-CN"/>
        </w:rPr>
        <w:t xml:space="preserve">the supposed </w:t>
      </w:r>
      <w:r>
        <w:rPr>
          <w:lang w:val="en-US" w:eastAsia="zh-CN"/>
        </w:rPr>
        <w:t xml:space="preserve">affordability ratio that </w:t>
      </w:r>
      <w:r w:rsidR="00B86911">
        <w:rPr>
          <w:lang w:val="en-US" w:eastAsia="zh-CN"/>
        </w:rPr>
        <w:t xml:space="preserve">if they </w:t>
      </w:r>
      <w:r>
        <w:rPr>
          <w:lang w:val="en-US" w:eastAsia="zh-CN"/>
        </w:rPr>
        <w:t>cross</w:t>
      </w:r>
      <w:r w:rsidR="00B86911">
        <w:rPr>
          <w:lang w:val="en-US" w:eastAsia="zh-CN"/>
        </w:rPr>
        <w:t xml:space="preserve">, they’ll be living in a </w:t>
      </w:r>
      <w:r>
        <w:rPr>
          <w:lang w:val="en-US" w:eastAsia="zh-CN"/>
        </w:rPr>
        <w:t>reality that their working wages can no longer support their costs of living</w:t>
      </w:r>
      <w:r w:rsidR="00B86911">
        <w:rPr>
          <w:lang w:val="en-US" w:eastAsia="zh-CN"/>
        </w:rPr>
        <w:t xml:space="preserve">, which unfortunately is already the case for a few states that deal with its own wide variety of variables and policies along with overpopulation. </w:t>
      </w:r>
    </w:p>
    <w:p w14:paraId="1B027D5D" w14:textId="77777777" w:rsidR="009303D9" w:rsidRPr="00D97DD7" w:rsidRDefault="009303D9" w:rsidP="00A059B3">
      <w:pPr>
        <w:pStyle w:val="Heading5"/>
      </w:pPr>
      <w:r w:rsidRPr="00D97DD7">
        <w:t>References</w:t>
      </w:r>
    </w:p>
    <w:p w14:paraId="3F3449A2" w14:textId="2639BB84" w:rsidR="00C84866" w:rsidRDefault="00C84866" w:rsidP="00C84866">
      <w:pPr>
        <w:pStyle w:val="references"/>
      </w:pPr>
      <w:r w:rsidRPr="00C84866">
        <w:t>“State Minimum Wage</w:t>
      </w:r>
      <w:r>
        <w:t xml:space="preserve"> </w:t>
      </w:r>
      <w:r w:rsidRPr="00C84866">
        <w:t>Laws,” </w:t>
      </w:r>
      <w:r w:rsidRPr="00C84866">
        <w:rPr>
          <w:i/>
          <w:iCs/>
        </w:rPr>
        <w:t>DOL</w:t>
      </w:r>
      <w:r w:rsidRPr="00C84866">
        <w:t xml:space="preserve">. </w:t>
      </w:r>
      <w:hyperlink r:id="rId12" w:anchor="content" w:history="1">
        <w:r w:rsidR="00452E01" w:rsidRPr="00C84866">
          <w:rPr>
            <w:rStyle w:val="Hyperlink"/>
          </w:rPr>
          <w:t>https://www.dol.gov/agencies/whd/minimum-wage/state#content</w:t>
        </w:r>
      </w:hyperlink>
    </w:p>
    <w:p w14:paraId="5E72A26A" w14:textId="0831C16B" w:rsidR="00FD3EEB" w:rsidRPr="00FD3EEB" w:rsidRDefault="00452E01" w:rsidP="00FD3EEB">
      <w:pPr>
        <w:pStyle w:val="references"/>
      </w:pPr>
      <w:r w:rsidRPr="00452E01">
        <w:t>The World Bank, “United States | data,” </w:t>
      </w:r>
      <w:r w:rsidRPr="00452E01">
        <w:rPr>
          <w:i/>
          <w:iCs/>
        </w:rPr>
        <w:t>Worldbank.org</w:t>
      </w:r>
      <w:r w:rsidRPr="00452E01">
        <w:t xml:space="preserve">, 2022. </w:t>
      </w:r>
      <w:hyperlink r:id="rId13" w:history="1">
        <w:r w:rsidRPr="006A3F15">
          <w:rPr>
            <w:rStyle w:val="Hyperlink"/>
          </w:rPr>
          <w:t>https://data.worldbank.org/country/united-states?view=chart</w:t>
        </w:r>
      </w:hyperlink>
    </w:p>
    <w:p w14:paraId="3701B3B7" w14:textId="734BF3C2" w:rsidR="00B86911" w:rsidRPr="00B86911" w:rsidRDefault="00FD3EEB" w:rsidP="00B86911">
      <w:pPr>
        <w:pStyle w:val="references"/>
      </w:pPr>
      <w:r w:rsidRPr="00FD3EEB">
        <w:t>A. Gupta, “Elbow Method for optimal value of k in KMeans,” </w:t>
      </w:r>
      <w:r w:rsidRPr="00FD3EEB">
        <w:rPr>
          <w:i/>
          <w:iCs/>
        </w:rPr>
        <w:t>GeeksforGeeks</w:t>
      </w:r>
      <w:r w:rsidRPr="00FD3EEB">
        <w:t xml:space="preserve">, Jun. 06, 2019. </w:t>
      </w:r>
      <w:hyperlink r:id="rId14" w:history="1">
        <w:r w:rsidRPr="004E69DA">
          <w:rPr>
            <w:rStyle w:val="Hyperlink"/>
          </w:rPr>
          <w:t>https://www.geeksforgeeks.org/elbow-method-for-optimal-value-of-k-in-kmeans/</w:t>
        </w:r>
      </w:hyperlink>
      <w:r>
        <w:t xml:space="preserve"> </w:t>
      </w:r>
    </w:p>
    <w:p w14:paraId="39F334FF" w14:textId="62C8CFFC" w:rsidR="00B86911" w:rsidRPr="00B86911" w:rsidRDefault="00B86911" w:rsidP="00B86911">
      <w:pPr>
        <w:pStyle w:val="references"/>
      </w:pPr>
      <w:r w:rsidRPr="00B86911">
        <w:rPr>
          <w:i/>
          <w:iCs/>
        </w:rPr>
        <w:t>Census.gov</w:t>
      </w:r>
      <w:r w:rsidRPr="00B86911">
        <w:t xml:space="preserve">, 2024. </w:t>
      </w:r>
      <w:hyperlink r:id="rId15" w:history="1">
        <w:r w:rsidRPr="00B86911">
          <w:rPr>
            <w:rStyle w:val="Hyperlink"/>
          </w:rPr>
          <w:t>https://www2.census.gov/programs-surveys/demo/tables/p60/282/tableA1.xlsx</w:t>
        </w:r>
      </w:hyperlink>
      <w:r>
        <w:t xml:space="preserve"> </w:t>
      </w:r>
    </w:p>
    <w:p w14:paraId="015A78D7" w14:textId="5C9088C1" w:rsidR="00B86911" w:rsidRPr="00B86911" w:rsidRDefault="00B86911" w:rsidP="00B86911">
      <w:pPr>
        <w:pStyle w:val="references"/>
      </w:pPr>
      <w:r w:rsidRPr="00B86911">
        <w:rPr>
          <w:i/>
          <w:iCs/>
        </w:rPr>
        <w:t>Bea.gov</w:t>
      </w:r>
      <w:r w:rsidRPr="00B86911">
        <w:t xml:space="preserve">, 2024. </w:t>
      </w:r>
      <w:hyperlink r:id="rId16" w:history="1">
        <w:r w:rsidRPr="00B86911">
          <w:rPr>
            <w:rStyle w:val="Hyperlink"/>
          </w:rPr>
          <w:t>https://www.bea.gov/sites/default/files/2024-09/stgdppi2q24.xlsx</w:t>
        </w:r>
      </w:hyperlink>
      <w:r>
        <w:t xml:space="preserve"> </w:t>
      </w:r>
      <w:r w:rsidRPr="00B86911">
        <w:t xml:space="preserve"> (accessed Dec. 0</w:t>
      </w:r>
      <w:r>
        <w:t>8</w:t>
      </w:r>
      <w:r w:rsidRPr="00B86911">
        <w:t>, 2024)</w:t>
      </w:r>
    </w:p>
    <w:p w14:paraId="59DD8268" w14:textId="6D99B5BD" w:rsidR="00B86911" w:rsidRPr="00B86911" w:rsidRDefault="00B86911" w:rsidP="00B86911">
      <w:pPr>
        <w:pStyle w:val="references"/>
      </w:pPr>
      <w:r w:rsidRPr="00B86911">
        <w:t>Bureau of Economic Analysis, “GDP by State | U.S. Bureau of Economic Analysis (BEA),” </w:t>
      </w:r>
      <w:r w:rsidRPr="00B86911">
        <w:rPr>
          <w:i/>
          <w:iCs/>
        </w:rPr>
        <w:t>Bea.gov</w:t>
      </w:r>
      <w:r w:rsidRPr="00B86911">
        <w:t xml:space="preserve">, 2024. </w:t>
      </w:r>
      <w:hyperlink r:id="rId17" w:history="1">
        <w:r w:rsidRPr="00B86911">
          <w:rPr>
            <w:rStyle w:val="Hyperlink"/>
          </w:rPr>
          <w:t>https://www.bea.gov/data/gdp/gdp-state</w:t>
        </w:r>
      </w:hyperlink>
      <w:r>
        <w:t xml:space="preserve"> </w:t>
      </w:r>
    </w:p>
    <w:p w14:paraId="51409CDF" w14:textId="21310AC0" w:rsidR="00B86911" w:rsidRPr="00B86911" w:rsidRDefault="00B86911" w:rsidP="00B86911">
      <w:pPr>
        <w:pStyle w:val="references"/>
      </w:pPr>
      <w:r w:rsidRPr="00B86911">
        <w:t>“Cost Of Living By State 2024,” </w:t>
      </w:r>
      <w:r w:rsidRPr="00B86911">
        <w:rPr>
          <w:i/>
          <w:iCs/>
        </w:rPr>
        <w:t>Data Pandas</w:t>
      </w:r>
      <w:r w:rsidRPr="00B86911">
        <w:t xml:space="preserve">, 2024. </w:t>
      </w:r>
      <w:hyperlink r:id="rId18" w:history="1">
        <w:r w:rsidRPr="00B86911">
          <w:rPr>
            <w:rStyle w:val="Hyperlink"/>
          </w:rPr>
          <w:t>https://www.datapandas.org/ranking/cost-of-living-by-state#table</w:t>
        </w:r>
      </w:hyperlink>
      <w:r>
        <w:t xml:space="preserve"> </w:t>
      </w:r>
      <w:r w:rsidRPr="00B86911">
        <w:t>(accessed Dec. 0</w:t>
      </w:r>
      <w:r>
        <w:t>8</w:t>
      </w:r>
      <w:r w:rsidRPr="00B86911">
        <w:t>, 2024).</w:t>
      </w:r>
    </w:p>
    <w:p w14:paraId="0CB15F24" w14:textId="50CAF37D" w:rsidR="00B86911" w:rsidRPr="00B86911" w:rsidRDefault="00B86911" w:rsidP="00B86911">
      <w:pPr>
        <w:pStyle w:val="references"/>
      </w:pPr>
      <w:r w:rsidRPr="00B86911">
        <w:t>“USDA ERS - Rural-Urban Continuum Codes,” </w:t>
      </w:r>
      <w:r w:rsidRPr="00B86911">
        <w:rPr>
          <w:i/>
          <w:iCs/>
        </w:rPr>
        <w:t>www.ers.usda.gov</w:t>
      </w:r>
      <w:r w:rsidRPr="00B86911">
        <w:t xml:space="preserve">. </w:t>
      </w:r>
      <w:hyperlink r:id="rId19" w:history="1">
        <w:r w:rsidRPr="00B86911">
          <w:rPr>
            <w:rStyle w:val="Hyperlink"/>
          </w:rPr>
          <w:t>https://www.ers.usda.gov/data-products/rural-urban-continuum-codes/</w:t>
        </w:r>
      </w:hyperlink>
    </w:p>
    <w:p w14:paraId="6BD96630" w14:textId="6662FBDC" w:rsidR="00B86911" w:rsidRPr="00B86911" w:rsidRDefault="00B86911" w:rsidP="00B86911">
      <w:pPr>
        <w:pStyle w:val="references"/>
      </w:pPr>
      <w:r w:rsidRPr="00B86911">
        <w:t>“World Bank Open Data,” </w:t>
      </w:r>
      <w:r w:rsidRPr="00B86911">
        <w:rPr>
          <w:i/>
          <w:iCs/>
        </w:rPr>
        <w:t>World Bank Open Data</w:t>
      </w:r>
      <w:r w:rsidRPr="00B86911">
        <w:t xml:space="preserve">, 2017. </w:t>
      </w:r>
      <w:hyperlink r:id="rId20" w:history="1">
        <w:r w:rsidRPr="000E2908">
          <w:rPr>
            <w:rStyle w:val="Hyperlink"/>
          </w:rPr>
          <w:t>https://data.worldbank.org/indicator/SI.POV.GINI?end=2022&amp;locations=US&amp;start=1963&amp;view=chart</w:t>
        </w:r>
      </w:hyperlink>
      <w:r>
        <w:t xml:space="preserve"> </w:t>
      </w:r>
    </w:p>
    <w:p w14:paraId="6A84367C" w14:textId="572163E0" w:rsidR="00836367" w:rsidRPr="00D6475E" w:rsidRDefault="00836367" w:rsidP="00B86911">
      <w:pPr>
        <w:pStyle w:val="references"/>
        <w:numPr>
          <w:ilvl w:val="0"/>
          <w:numId w:val="0"/>
        </w:numPr>
        <w:sectPr w:rsidR="00836367" w:rsidRPr="00D6475E" w:rsidSect="000B0EE3">
          <w:type w:val="continuous"/>
          <w:pgSz w:w="595.30pt" w:h="841.90pt" w:code="9"/>
          <w:pgMar w:top="54pt" w:right="45.35pt" w:bottom="72pt" w:left="45.35pt" w:header="36pt" w:footer="36pt" w:gutter="0pt"/>
          <w:cols w:num="2" w:space="18pt"/>
          <w:docGrid w:linePitch="360"/>
        </w:sectPr>
      </w:pPr>
    </w:p>
    <w:p w14:paraId="67FE7680" w14:textId="77777777" w:rsidR="00B86911" w:rsidRPr="00D97DD7" w:rsidRDefault="00B86911">
      <w:pPr>
        <w:jc w:val="both"/>
      </w:pPr>
    </w:p>
    <w:sectPr w:rsidR="00B86911"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FFD3685" w14:textId="77777777" w:rsidR="00E363BE" w:rsidRDefault="00E363BE" w:rsidP="001A3B3D">
      <w:r>
        <w:separator/>
      </w:r>
    </w:p>
  </w:endnote>
  <w:endnote w:type="continuationSeparator" w:id="0">
    <w:p w14:paraId="6BE023A2" w14:textId="77777777" w:rsidR="00E363BE" w:rsidRDefault="00E363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D88B0E9" w14:textId="77777777" w:rsidR="00E363BE" w:rsidRDefault="00E363BE" w:rsidP="001A3B3D">
      <w:r>
        <w:separator/>
      </w:r>
    </w:p>
  </w:footnote>
  <w:footnote w:type="continuationSeparator" w:id="0">
    <w:p w14:paraId="0B4FBC2E" w14:textId="77777777" w:rsidR="00E363BE" w:rsidRDefault="00E363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B17C26"/>
    <w:multiLevelType w:val="hybridMultilevel"/>
    <w:tmpl w:val="E0E42424"/>
    <w:lvl w:ilvl="0" w:tplc="6F80F280">
      <w:start w:val="1"/>
      <w:numFmt w:val="decimal"/>
      <w:lvlText w:val="%1."/>
      <w:lvlJc w:val="start"/>
      <w:pPr>
        <w:ind w:start="34.65pt" w:hanging="18pt"/>
      </w:pPr>
      <w:rPr>
        <w:rFonts w:hint="default"/>
      </w:rPr>
    </w:lvl>
    <w:lvl w:ilvl="1" w:tplc="04090019" w:tentative="1">
      <w:start w:val="1"/>
      <w:numFmt w:val="lowerLetter"/>
      <w:lvlText w:val="%2."/>
      <w:lvlJc w:val="start"/>
      <w:pPr>
        <w:ind w:start="70.65pt" w:hanging="18pt"/>
      </w:pPr>
    </w:lvl>
    <w:lvl w:ilvl="2" w:tplc="0409001B" w:tentative="1">
      <w:start w:val="1"/>
      <w:numFmt w:val="lowerRoman"/>
      <w:lvlText w:val="%3."/>
      <w:lvlJc w:val="end"/>
      <w:pPr>
        <w:ind w:start="106.65pt" w:hanging="9pt"/>
      </w:pPr>
    </w:lvl>
    <w:lvl w:ilvl="3" w:tplc="0409000F" w:tentative="1">
      <w:start w:val="1"/>
      <w:numFmt w:val="decimal"/>
      <w:lvlText w:val="%4."/>
      <w:lvlJc w:val="start"/>
      <w:pPr>
        <w:ind w:start="142.65pt" w:hanging="18pt"/>
      </w:pPr>
    </w:lvl>
    <w:lvl w:ilvl="4" w:tplc="04090019" w:tentative="1">
      <w:start w:val="1"/>
      <w:numFmt w:val="lowerLetter"/>
      <w:lvlText w:val="%5."/>
      <w:lvlJc w:val="start"/>
      <w:pPr>
        <w:ind w:start="178.65pt" w:hanging="18pt"/>
      </w:pPr>
    </w:lvl>
    <w:lvl w:ilvl="5" w:tplc="0409001B" w:tentative="1">
      <w:start w:val="1"/>
      <w:numFmt w:val="lowerRoman"/>
      <w:lvlText w:val="%6."/>
      <w:lvlJc w:val="end"/>
      <w:pPr>
        <w:ind w:start="214.65pt" w:hanging="9pt"/>
      </w:pPr>
    </w:lvl>
    <w:lvl w:ilvl="6" w:tplc="0409000F" w:tentative="1">
      <w:start w:val="1"/>
      <w:numFmt w:val="decimal"/>
      <w:lvlText w:val="%7."/>
      <w:lvlJc w:val="start"/>
      <w:pPr>
        <w:ind w:start="250.65pt" w:hanging="18pt"/>
      </w:pPr>
    </w:lvl>
    <w:lvl w:ilvl="7" w:tplc="04090019" w:tentative="1">
      <w:start w:val="1"/>
      <w:numFmt w:val="lowerLetter"/>
      <w:lvlText w:val="%8."/>
      <w:lvlJc w:val="start"/>
      <w:pPr>
        <w:ind w:start="286.65pt" w:hanging="18pt"/>
      </w:pPr>
    </w:lvl>
    <w:lvl w:ilvl="8" w:tplc="0409001B" w:tentative="1">
      <w:start w:val="1"/>
      <w:numFmt w:val="lowerRoman"/>
      <w:lvlText w:val="%9."/>
      <w:lvlJc w:val="end"/>
      <w:pPr>
        <w:ind w:start="322.65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0"/>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6"/>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12986247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672C"/>
    <w:rsid w:val="0004781E"/>
    <w:rsid w:val="000572E1"/>
    <w:rsid w:val="0008495A"/>
    <w:rsid w:val="0008758A"/>
    <w:rsid w:val="000B0EE3"/>
    <w:rsid w:val="000B7CF6"/>
    <w:rsid w:val="000C1E68"/>
    <w:rsid w:val="000E47FB"/>
    <w:rsid w:val="000E6C32"/>
    <w:rsid w:val="00104EA5"/>
    <w:rsid w:val="00107E86"/>
    <w:rsid w:val="00110A3D"/>
    <w:rsid w:val="00112182"/>
    <w:rsid w:val="00127237"/>
    <w:rsid w:val="00130947"/>
    <w:rsid w:val="0015499D"/>
    <w:rsid w:val="001A2EFD"/>
    <w:rsid w:val="001A3B3D"/>
    <w:rsid w:val="001B2121"/>
    <w:rsid w:val="001B67DC"/>
    <w:rsid w:val="001B6D3E"/>
    <w:rsid w:val="001C55BE"/>
    <w:rsid w:val="001D3E36"/>
    <w:rsid w:val="001E6651"/>
    <w:rsid w:val="00215ADC"/>
    <w:rsid w:val="002254A9"/>
    <w:rsid w:val="00233D97"/>
    <w:rsid w:val="002347A2"/>
    <w:rsid w:val="0023739F"/>
    <w:rsid w:val="00271274"/>
    <w:rsid w:val="002850E3"/>
    <w:rsid w:val="00296AE8"/>
    <w:rsid w:val="002A70CB"/>
    <w:rsid w:val="002E1971"/>
    <w:rsid w:val="002E25DA"/>
    <w:rsid w:val="00304194"/>
    <w:rsid w:val="00337415"/>
    <w:rsid w:val="00352625"/>
    <w:rsid w:val="00354FCF"/>
    <w:rsid w:val="003550BA"/>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52E01"/>
    <w:rsid w:val="0046031D"/>
    <w:rsid w:val="00472BD7"/>
    <w:rsid w:val="00473AC9"/>
    <w:rsid w:val="004945C4"/>
    <w:rsid w:val="004C6AEC"/>
    <w:rsid w:val="004D6F37"/>
    <w:rsid w:val="004D72B5"/>
    <w:rsid w:val="005002C0"/>
    <w:rsid w:val="00517985"/>
    <w:rsid w:val="00536C22"/>
    <w:rsid w:val="00551B7F"/>
    <w:rsid w:val="0056610F"/>
    <w:rsid w:val="00575BCA"/>
    <w:rsid w:val="005866B7"/>
    <w:rsid w:val="005B0344"/>
    <w:rsid w:val="005B4413"/>
    <w:rsid w:val="005B520E"/>
    <w:rsid w:val="005C5C8B"/>
    <w:rsid w:val="005C5CB1"/>
    <w:rsid w:val="005E2800"/>
    <w:rsid w:val="00601AAF"/>
    <w:rsid w:val="00605825"/>
    <w:rsid w:val="00614545"/>
    <w:rsid w:val="00624560"/>
    <w:rsid w:val="00645D22"/>
    <w:rsid w:val="00651A08"/>
    <w:rsid w:val="00651E0E"/>
    <w:rsid w:val="00654204"/>
    <w:rsid w:val="00656D6C"/>
    <w:rsid w:val="00667230"/>
    <w:rsid w:val="00670434"/>
    <w:rsid w:val="00676DE5"/>
    <w:rsid w:val="00693C64"/>
    <w:rsid w:val="0069687D"/>
    <w:rsid w:val="006A2AAF"/>
    <w:rsid w:val="006B164D"/>
    <w:rsid w:val="006B37C8"/>
    <w:rsid w:val="006B6B66"/>
    <w:rsid w:val="006F6D3D"/>
    <w:rsid w:val="00715BEA"/>
    <w:rsid w:val="00740EEA"/>
    <w:rsid w:val="00794804"/>
    <w:rsid w:val="007B33F1"/>
    <w:rsid w:val="007B6DDA"/>
    <w:rsid w:val="007C0308"/>
    <w:rsid w:val="007C2FF2"/>
    <w:rsid w:val="007C5131"/>
    <w:rsid w:val="007C5434"/>
    <w:rsid w:val="007D6232"/>
    <w:rsid w:val="007F1F99"/>
    <w:rsid w:val="007F768F"/>
    <w:rsid w:val="0080791D"/>
    <w:rsid w:val="008170D6"/>
    <w:rsid w:val="00825208"/>
    <w:rsid w:val="00836367"/>
    <w:rsid w:val="00873603"/>
    <w:rsid w:val="008A2C7D"/>
    <w:rsid w:val="008B2902"/>
    <w:rsid w:val="008B333F"/>
    <w:rsid w:val="008B6524"/>
    <w:rsid w:val="008C4B23"/>
    <w:rsid w:val="008F6E2C"/>
    <w:rsid w:val="009074F3"/>
    <w:rsid w:val="00927592"/>
    <w:rsid w:val="009303D9"/>
    <w:rsid w:val="00933C64"/>
    <w:rsid w:val="00972203"/>
    <w:rsid w:val="00993F5D"/>
    <w:rsid w:val="009F1D79"/>
    <w:rsid w:val="009F7958"/>
    <w:rsid w:val="00A059B3"/>
    <w:rsid w:val="00A206BD"/>
    <w:rsid w:val="00A53CD3"/>
    <w:rsid w:val="00A62444"/>
    <w:rsid w:val="00A83C5B"/>
    <w:rsid w:val="00AE3409"/>
    <w:rsid w:val="00AE4465"/>
    <w:rsid w:val="00B10A14"/>
    <w:rsid w:val="00B11A60"/>
    <w:rsid w:val="00B13315"/>
    <w:rsid w:val="00B22613"/>
    <w:rsid w:val="00B272CE"/>
    <w:rsid w:val="00B445DA"/>
    <w:rsid w:val="00B44A76"/>
    <w:rsid w:val="00B6050A"/>
    <w:rsid w:val="00B6733E"/>
    <w:rsid w:val="00B768D1"/>
    <w:rsid w:val="00B86911"/>
    <w:rsid w:val="00BA1025"/>
    <w:rsid w:val="00BA5E12"/>
    <w:rsid w:val="00BA70AC"/>
    <w:rsid w:val="00BC3420"/>
    <w:rsid w:val="00BD670B"/>
    <w:rsid w:val="00BE7D3C"/>
    <w:rsid w:val="00BF5FF6"/>
    <w:rsid w:val="00BF7B0B"/>
    <w:rsid w:val="00C0082F"/>
    <w:rsid w:val="00C0207F"/>
    <w:rsid w:val="00C04794"/>
    <w:rsid w:val="00C10EEC"/>
    <w:rsid w:val="00C16117"/>
    <w:rsid w:val="00C234BB"/>
    <w:rsid w:val="00C3075A"/>
    <w:rsid w:val="00C4076F"/>
    <w:rsid w:val="00C84866"/>
    <w:rsid w:val="00C919A4"/>
    <w:rsid w:val="00CA1218"/>
    <w:rsid w:val="00CA4392"/>
    <w:rsid w:val="00CC393F"/>
    <w:rsid w:val="00D03374"/>
    <w:rsid w:val="00D2176E"/>
    <w:rsid w:val="00D32DB9"/>
    <w:rsid w:val="00D632BE"/>
    <w:rsid w:val="00D6475E"/>
    <w:rsid w:val="00D72BD6"/>
    <w:rsid w:val="00D72D06"/>
    <w:rsid w:val="00D7522C"/>
    <w:rsid w:val="00D7536F"/>
    <w:rsid w:val="00D76668"/>
    <w:rsid w:val="00D97DD7"/>
    <w:rsid w:val="00DA1784"/>
    <w:rsid w:val="00DB7B51"/>
    <w:rsid w:val="00DD1C6A"/>
    <w:rsid w:val="00DE1E59"/>
    <w:rsid w:val="00E07383"/>
    <w:rsid w:val="00E165BC"/>
    <w:rsid w:val="00E363BE"/>
    <w:rsid w:val="00E61E12"/>
    <w:rsid w:val="00E7596C"/>
    <w:rsid w:val="00E774E2"/>
    <w:rsid w:val="00E878F2"/>
    <w:rsid w:val="00EA7421"/>
    <w:rsid w:val="00EB34F4"/>
    <w:rsid w:val="00ED0149"/>
    <w:rsid w:val="00ED1CE6"/>
    <w:rsid w:val="00ED7705"/>
    <w:rsid w:val="00EE00EA"/>
    <w:rsid w:val="00EF7DE3"/>
    <w:rsid w:val="00F03103"/>
    <w:rsid w:val="00F271DE"/>
    <w:rsid w:val="00F4760D"/>
    <w:rsid w:val="00F627DA"/>
    <w:rsid w:val="00F6512D"/>
    <w:rsid w:val="00F7288F"/>
    <w:rsid w:val="00F84081"/>
    <w:rsid w:val="00F847A6"/>
    <w:rsid w:val="00F848FB"/>
    <w:rsid w:val="00F9441B"/>
    <w:rsid w:val="00FA43CF"/>
    <w:rsid w:val="00FA4C32"/>
    <w:rsid w:val="00FD3EEB"/>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9074F3"/>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52E01"/>
    <w:rPr>
      <w:color w:val="0563C1" w:themeColor="hyperlink"/>
      <w:u w:val="single"/>
    </w:rPr>
  </w:style>
  <w:style w:type="character" w:styleId="UnresolvedMention">
    <w:name w:val="Unresolved Mention"/>
    <w:basedOn w:val="DefaultParagraphFont"/>
    <w:uiPriority w:val="99"/>
    <w:semiHidden/>
    <w:unhideWhenUsed/>
    <w:rsid w:val="00452E01"/>
    <w:rPr>
      <w:color w:val="605E5C"/>
      <w:shd w:val="clear" w:color="auto" w:fill="E1DFDD"/>
    </w:rPr>
  </w:style>
  <w:style w:type="table" w:styleId="TableGrid">
    <w:name w:val="Table Grid"/>
    <w:basedOn w:val="TableNormal"/>
    <w:rsid w:val="0027127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074F3"/>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112182"/>
    <w:rPr>
      <w:color w:val="666666"/>
    </w:rPr>
  </w:style>
  <w:style w:type="paragraph" w:styleId="NormalWeb">
    <w:name w:val="Normal (Web)"/>
    <w:basedOn w:val="Normal"/>
    <w:uiPriority w:val="99"/>
    <w:unhideWhenUsed/>
    <w:rsid w:val="00FD3EEB"/>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79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5869636">
          <w:marLeft w:val="0pt"/>
          <w:marRight w:val="36pt"/>
          <w:marTop w:val="0pt"/>
          <w:marBottom w:val="0pt"/>
          <w:divBdr>
            <w:top w:val="none" w:sz="0" w:space="0" w:color="auto"/>
            <w:left w:val="none" w:sz="0" w:space="0" w:color="auto"/>
            <w:bottom w:val="none" w:sz="0" w:space="0" w:color="auto"/>
            <w:right w:val="none" w:sz="0" w:space="0" w:color="auto"/>
          </w:divBdr>
        </w:div>
        <w:div w:id="1162433332">
          <w:marLeft w:val="0pt"/>
          <w:marRight w:val="0pt"/>
          <w:marTop w:val="0pt"/>
          <w:marBottom w:val="0pt"/>
          <w:divBdr>
            <w:top w:val="none" w:sz="0" w:space="0" w:color="auto"/>
            <w:left w:val="none" w:sz="0" w:space="0" w:color="auto"/>
            <w:bottom w:val="none" w:sz="0" w:space="0" w:color="auto"/>
            <w:right w:val="none" w:sz="0" w:space="0" w:color="auto"/>
          </w:divBdr>
        </w:div>
      </w:divsChild>
    </w:div>
    <w:div w:id="222640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714745">
          <w:marLeft w:val="0pt"/>
          <w:marRight w:val="36pt"/>
          <w:marTop w:val="0pt"/>
          <w:marBottom w:val="0pt"/>
          <w:divBdr>
            <w:top w:val="none" w:sz="0" w:space="0" w:color="auto"/>
            <w:left w:val="none" w:sz="0" w:space="0" w:color="auto"/>
            <w:bottom w:val="none" w:sz="0" w:space="0" w:color="auto"/>
            <w:right w:val="none" w:sz="0" w:space="0" w:color="auto"/>
          </w:divBdr>
        </w:div>
        <w:div w:id="2141460525">
          <w:marLeft w:val="0pt"/>
          <w:marRight w:val="0pt"/>
          <w:marTop w:val="0pt"/>
          <w:marBottom w:val="0pt"/>
          <w:divBdr>
            <w:top w:val="none" w:sz="0" w:space="0" w:color="auto"/>
            <w:left w:val="none" w:sz="0" w:space="0" w:color="auto"/>
            <w:bottom w:val="none" w:sz="0" w:space="0" w:color="auto"/>
            <w:right w:val="none" w:sz="0" w:space="0" w:color="auto"/>
          </w:divBdr>
        </w:div>
      </w:divsChild>
    </w:div>
    <w:div w:id="2938739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2405644">
          <w:marLeft w:val="0pt"/>
          <w:marRight w:val="36pt"/>
          <w:marTop w:val="0pt"/>
          <w:marBottom w:val="0pt"/>
          <w:divBdr>
            <w:top w:val="none" w:sz="0" w:space="0" w:color="auto"/>
            <w:left w:val="none" w:sz="0" w:space="0" w:color="auto"/>
            <w:bottom w:val="none" w:sz="0" w:space="0" w:color="auto"/>
            <w:right w:val="none" w:sz="0" w:space="0" w:color="auto"/>
          </w:divBdr>
        </w:div>
        <w:div w:id="793451719">
          <w:marLeft w:val="0pt"/>
          <w:marRight w:val="0pt"/>
          <w:marTop w:val="0pt"/>
          <w:marBottom w:val="0pt"/>
          <w:divBdr>
            <w:top w:val="none" w:sz="0" w:space="0" w:color="auto"/>
            <w:left w:val="none" w:sz="0" w:space="0" w:color="auto"/>
            <w:bottom w:val="none" w:sz="0" w:space="0" w:color="auto"/>
            <w:right w:val="none" w:sz="0" w:space="0" w:color="auto"/>
          </w:divBdr>
        </w:div>
      </w:divsChild>
    </w:div>
    <w:div w:id="305210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5463507">
          <w:marLeft w:val="0pt"/>
          <w:marRight w:val="36pt"/>
          <w:marTop w:val="0pt"/>
          <w:marBottom w:val="0pt"/>
          <w:divBdr>
            <w:top w:val="none" w:sz="0" w:space="0" w:color="auto"/>
            <w:left w:val="none" w:sz="0" w:space="0" w:color="auto"/>
            <w:bottom w:val="none" w:sz="0" w:space="0" w:color="auto"/>
            <w:right w:val="none" w:sz="0" w:space="0" w:color="auto"/>
          </w:divBdr>
        </w:div>
        <w:div w:id="2040008175">
          <w:marLeft w:val="0pt"/>
          <w:marRight w:val="0pt"/>
          <w:marTop w:val="0pt"/>
          <w:marBottom w:val="0pt"/>
          <w:divBdr>
            <w:top w:val="none" w:sz="0" w:space="0" w:color="auto"/>
            <w:left w:val="none" w:sz="0" w:space="0" w:color="auto"/>
            <w:bottom w:val="none" w:sz="0" w:space="0" w:color="auto"/>
            <w:right w:val="none" w:sz="0" w:space="0" w:color="auto"/>
          </w:divBdr>
        </w:div>
      </w:divsChild>
    </w:div>
    <w:div w:id="4518312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2575864">
          <w:marLeft w:val="0pt"/>
          <w:marRight w:val="36pt"/>
          <w:marTop w:val="0pt"/>
          <w:marBottom w:val="0pt"/>
          <w:divBdr>
            <w:top w:val="none" w:sz="0" w:space="0" w:color="auto"/>
            <w:left w:val="none" w:sz="0" w:space="0" w:color="auto"/>
            <w:bottom w:val="none" w:sz="0" w:space="0" w:color="auto"/>
            <w:right w:val="none" w:sz="0" w:space="0" w:color="auto"/>
          </w:divBdr>
        </w:div>
        <w:div w:id="885919542">
          <w:marLeft w:val="0pt"/>
          <w:marRight w:val="0pt"/>
          <w:marTop w:val="0pt"/>
          <w:marBottom w:val="0pt"/>
          <w:divBdr>
            <w:top w:val="none" w:sz="0" w:space="0" w:color="auto"/>
            <w:left w:val="none" w:sz="0" w:space="0" w:color="auto"/>
            <w:bottom w:val="none" w:sz="0" w:space="0" w:color="auto"/>
            <w:right w:val="none" w:sz="0" w:space="0" w:color="auto"/>
          </w:divBdr>
        </w:div>
      </w:divsChild>
    </w:div>
    <w:div w:id="484321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4273580">
          <w:marLeft w:val="0pt"/>
          <w:marRight w:val="36pt"/>
          <w:marTop w:val="0pt"/>
          <w:marBottom w:val="0pt"/>
          <w:divBdr>
            <w:top w:val="none" w:sz="0" w:space="0" w:color="auto"/>
            <w:left w:val="none" w:sz="0" w:space="0" w:color="auto"/>
            <w:bottom w:val="none" w:sz="0" w:space="0" w:color="auto"/>
            <w:right w:val="none" w:sz="0" w:space="0" w:color="auto"/>
          </w:divBdr>
        </w:div>
        <w:div w:id="1269973544">
          <w:marLeft w:val="0pt"/>
          <w:marRight w:val="0pt"/>
          <w:marTop w:val="0pt"/>
          <w:marBottom w:val="0pt"/>
          <w:divBdr>
            <w:top w:val="none" w:sz="0" w:space="0" w:color="auto"/>
            <w:left w:val="none" w:sz="0" w:space="0" w:color="auto"/>
            <w:bottom w:val="none" w:sz="0" w:space="0" w:color="auto"/>
            <w:right w:val="none" w:sz="0" w:space="0" w:color="auto"/>
          </w:divBdr>
        </w:div>
      </w:divsChild>
    </w:div>
    <w:div w:id="7674278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1831760">
          <w:marLeft w:val="0pt"/>
          <w:marRight w:val="36pt"/>
          <w:marTop w:val="0pt"/>
          <w:marBottom w:val="0pt"/>
          <w:divBdr>
            <w:top w:val="none" w:sz="0" w:space="0" w:color="auto"/>
            <w:left w:val="none" w:sz="0" w:space="0" w:color="auto"/>
            <w:bottom w:val="none" w:sz="0" w:space="0" w:color="auto"/>
            <w:right w:val="none" w:sz="0" w:space="0" w:color="auto"/>
          </w:divBdr>
        </w:div>
        <w:div w:id="269358436">
          <w:marLeft w:val="0pt"/>
          <w:marRight w:val="0pt"/>
          <w:marTop w:val="0pt"/>
          <w:marBottom w:val="0pt"/>
          <w:divBdr>
            <w:top w:val="none" w:sz="0" w:space="0" w:color="auto"/>
            <w:left w:val="none" w:sz="0" w:space="0" w:color="auto"/>
            <w:bottom w:val="none" w:sz="0" w:space="0" w:color="auto"/>
            <w:right w:val="none" w:sz="0" w:space="0" w:color="auto"/>
          </w:divBdr>
        </w:div>
      </w:divsChild>
    </w:div>
    <w:div w:id="829490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7732856">
          <w:marLeft w:val="0pt"/>
          <w:marRight w:val="36pt"/>
          <w:marTop w:val="0pt"/>
          <w:marBottom w:val="0pt"/>
          <w:divBdr>
            <w:top w:val="none" w:sz="0" w:space="0" w:color="auto"/>
            <w:left w:val="none" w:sz="0" w:space="0" w:color="auto"/>
            <w:bottom w:val="none" w:sz="0" w:space="0" w:color="auto"/>
            <w:right w:val="none" w:sz="0" w:space="0" w:color="auto"/>
          </w:divBdr>
        </w:div>
        <w:div w:id="735250420">
          <w:marLeft w:val="0pt"/>
          <w:marRight w:val="0pt"/>
          <w:marTop w:val="0pt"/>
          <w:marBottom w:val="0pt"/>
          <w:divBdr>
            <w:top w:val="none" w:sz="0" w:space="0" w:color="auto"/>
            <w:left w:val="none" w:sz="0" w:space="0" w:color="auto"/>
            <w:bottom w:val="none" w:sz="0" w:space="0" w:color="auto"/>
            <w:right w:val="none" w:sz="0" w:space="0" w:color="auto"/>
          </w:divBdr>
        </w:div>
      </w:divsChild>
    </w:div>
    <w:div w:id="916206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6091818">
          <w:marLeft w:val="0pt"/>
          <w:marRight w:val="36pt"/>
          <w:marTop w:val="0pt"/>
          <w:marBottom w:val="0pt"/>
          <w:divBdr>
            <w:top w:val="none" w:sz="0" w:space="0" w:color="auto"/>
            <w:left w:val="none" w:sz="0" w:space="0" w:color="auto"/>
            <w:bottom w:val="none" w:sz="0" w:space="0" w:color="auto"/>
            <w:right w:val="none" w:sz="0" w:space="0" w:color="auto"/>
          </w:divBdr>
        </w:div>
        <w:div w:id="2052411516">
          <w:marLeft w:val="0pt"/>
          <w:marRight w:val="0pt"/>
          <w:marTop w:val="0pt"/>
          <w:marBottom w:val="0pt"/>
          <w:divBdr>
            <w:top w:val="none" w:sz="0" w:space="0" w:color="auto"/>
            <w:left w:val="none" w:sz="0" w:space="0" w:color="auto"/>
            <w:bottom w:val="none" w:sz="0" w:space="0" w:color="auto"/>
            <w:right w:val="none" w:sz="0" w:space="0" w:color="auto"/>
          </w:divBdr>
        </w:div>
      </w:divsChild>
    </w:div>
    <w:div w:id="9572211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2964465">
          <w:marLeft w:val="0pt"/>
          <w:marRight w:val="36pt"/>
          <w:marTop w:val="0pt"/>
          <w:marBottom w:val="0pt"/>
          <w:divBdr>
            <w:top w:val="none" w:sz="0" w:space="0" w:color="auto"/>
            <w:left w:val="none" w:sz="0" w:space="0" w:color="auto"/>
            <w:bottom w:val="none" w:sz="0" w:space="0" w:color="auto"/>
            <w:right w:val="none" w:sz="0" w:space="0" w:color="auto"/>
          </w:divBdr>
        </w:div>
        <w:div w:id="1764522718">
          <w:marLeft w:val="0pt"/>
          <w:marRight w:val="0pt"/>
          <w:marTop w:val="0pt"/>
          <w:marBottom w:val="0pt"/>
          <w:divBdr>
            <w:top w:val="none" w:sz="0" w:space="0" w:color="auto"/>
            <w:left w:val="none" w:sz="0" w:space="0" w:color="auto"/>
            <w:bottom w:val="none" w:sz="0" w:space="0" w:color="auto"/>
            <w:right w:val="none" w:sz="0" w:space="0" w:color="auto"/>
          </w:divBdr>
        </w:div>
      </w:divsChild>
    </w:div>
    <w:div w:id="12488816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4492480">
          <w:marLeft w:val="0pt"/>
          <w:marRight w:val="36pt"/>
          <w:marTop w:val="0pt"/>
          <w:marBottom w:val="0pt"/>
          <w:divBdr>
            <w:top w:val="none" w:sz="0" w:space="0" w:color="auto"/>
            <w:left w:val="none" w:sz="0" w:space="0" w:color="auto"/>
            <w:bottom w:val="none" w:sz="0" w:space="0" w:color="auto"/>
            <w:right w:val="none" w:sz="0" w:space="0" w:color="auto"/>
          </w:divBdr>
        </w:div>
        <w:div w:id="1039477495">
          <w:marLeft w:val="0pt"/>
          <w:marRight w:val="0pt"/>
          <w:marTop w:val="0pt"/>
          <w:marBottom w:val="0pt"/>
          <w:divBdr>
            <w:top w:val="none" w:sz="0" w:space="0" w:color="auto"/>
            <w:left w:val="none" w:sz="0" w:space="0" w:color="auto"/>
            <w:bottom w:val="none" w:sz="0" w:space="0" w:color="auto"/>
            <w:right w:val="none" w:sz="0" w:space="0" w:color="auto"/>
          </w:divBdr>
        </w:div>
      </w:divsChild>
    </w:div>
    <w:div w:id="14378652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0113768">
          <w:marLeft w:val="0pt"/>
          <w:marRight w:val="36pt"/>
          <w:marTop w:val="0pt"/>
          <w:marBottom w:val="0pt"/>
          <w:divBdr>
            <w:top w:val="none" w:sz="0" w:space="0" w:color="auto"/>
            <w:left w:val="none" w:sz="0" w:space="0" w:color="auto"/>
            <w:bottom w:val="none" w:sz="0" w:space="0" w:color="auto"/>
            <w:right w:val="none" w:sz="0" w:space="0" w:color="auto"/>
          </w:divBdr>
        </w:div>
        <w:div w:id="345445873">
          <w:marLeft w:val="0pt"/>
          <w:marRight w:val="0pt"/>
          <w:marTop w:val="0pt"/>
          <w:marBottom w:val="0pt"/>
          <w:divBdr>
            <w:top w:val="none" w:sz="0" w:space="0" w:color="auto"/>
            <w:left w:val="none" w:sz="0" w:space="0" w:color="auto"/>
            <w:bottom w:val="none" w:sz="0" w:space="0" w:color="auto"/>
            <w:right w:val="none" w:sz="0" w:space="0" w:color="auto"/>
          </w:divBdr>
        </w:div>
      </w:divsChild>
    </w:div>
    <w:div w:id="1603799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1563785">
          <w:marLeft w:val="0pt"/>
          <w:marRight w:val="36pt"/>
          <w:marTop w:val="0pt"/>
          <w:marBottom w:val="0pt"/>
          <w:divBdr>
            <w:top w:val="none" w:sz="0" w:space="0" w:color="auto"/>
            <w:left w:val="none" w:sz="0" w:space="0" w:color="auto"/>
            <w:bottom w:val="none" w:sz="0" w:space="0" w:color="auto"/>
            <w:right w:val="none" w:sz="0" w:space="0" w:color="auto"/>
          </w:divBdr>
        </w:div>
        <w:div w:id="870149600">
          <w:marLeft w:val="0pt"/>
          <w:marRight w:val="0pt"/>
          <w:marTop w:val="0pt"/>
          <w:marBottom w:val="0pt"/>
          <w:divBdr>
            <w:top w:val="none" w:sz="0" w:space="0" w:color="auto"/>
            <w:left w:val="none" w:sz="0" w:space="0" w:color="auto"/>
            <w:bottom w:val="none" w:sz="0" w:space="0" w:color="auto"/>
            <w:right w:val="none" w:sz="0" w:space="0" w:color="auto"/>
          </w:divBdr>
        </w:div>
      </w:divsChild>
    </w:div>
    <w:div w:id="1878348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6773134">
          <w:marLeft w:val="0pt"/>
          <w:marRight w:val="36pt"/>
          <w:marTop w:val="0pt"/>
          <w:marBottom w:val="0pt"/>
          <w:divBdr>
            <w:top w:val="none" w:sz="0" w:space="0" w:color="auto"/>
            <w:left w:val="none" w:sz="0" w:space="0" w:color="auto"/>
            <w:bottom w:val="none" w:sz="0" w:space="0" w:color="auto"/>
            <w:right w:val="none" w:sz="0" w:space="0" w:color="auto"/>
          </w:divBdr>
        </w:div>
        <w:div w:id="1964381448">
          <w:marLeft w:val="0pt"/>
          <w:marRight w:val="0pt"/>
          <w:marTop w:val="0pt"/>
          <w:marBottom w:val="0pt"/>
          <w:divBdr>
            <w:top w:val="none" w:sz="0" w:space="0" w:color="auto"/>
            <w:left w:val="none" w:sz="0" w:space="0" w:color="auto"/>
            <w:bottom w:val="none" w:sz="0" w:space="0" w:color="auto"/>
            <w:right w:val="none" w:sz="0" w:space="0" w:color="auto"/>
          </w:divBdr>
        </w:div>
      </w:divsChild>
    </w:div>
    <w:div w:id="1884826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256659">
          <w:marLeft w:val="0pt"/>
          <w:marRight w:val="36pt"/>
          <w:marTop w:val="0pt"/>
          <w:marBottom w:val="0pt"/>
          <w:divBdr>
            <w:top w:val="none" w:sz="0" w:space="0" w:color="auto"/>
            <w:left w:val="none" w:sz="0" w:space="0" w:color="auto"/>
            <w:bottom w:val="none" w:sz="0" w:space="0" w:color="auto"/>
            <w:right w:val="none" w:sz="0" w:space="0" w:color="auto"/>
          </w:divBdr>
        </w:div>
        <w:div w:id="1997369969">
          <w:marLeft w:val="0pt"/>
          <w:marRight w:val="0pt"/>
          <w:marTop w:val="0pt"/>
          <w:marBottom w:val="0pt"/>
          <w:divBdr>
            <w:top w:val="none" w:sz="0" w:space="0" w:color="auto"/>
            <w:left w:val="none" w:sz="0" w:space="0" w:color="auto"/>
            <w:bottom w:val="none" w:sz="0" w:space="0" w:color="auto"/>
            <w:right w:val="none" w:sz="0" w:space="0" w:color="auto"/>
          </w:divBdr>
        </w:div>
      </w:divsChild>
    </w:div>
    <w:div w:id="1980575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598075">
          <w:marLeft w:val="0pt"/>
          <w:marRight w:val="36pt"/>
          <w:marTop w:val="0pt"/>
          <w:marBottom w:val="0pt"/>
          <w:divBdr>
            <w:top w:val="none" w:sz="0" w:space="0" w:color="auto"/>
            <w:left w:val="none" w:sz="0" w:space="0" w:color="auto"/>
            <w:bottom w:val="none" w:sz="0" w:space="0" w:color="auto"/>
            <w:right w:val="none" w:sz="0" w:space="0" w:color="auto"/>
          </w:divBdr>
        </w:div>
        <w:div w:id="233273205">
          <w:marLeft w:val="0pt"/>
          <w:marRight w:val="0pt"/>
          <w:marTop w:val="0pt"/>
          <w:marBottom w:val="0pt"/>
          <w:divBdr>
            <w:top w:val="none" w:sz="0" w:space="0" w:color="auto"/>
            <w:left w:val="none" w:sz="0" w:space="0" w:color="auto"/>
            <w:bottom w:val="none" w:sz="0" w:space="0" w:color="auto"/>
            <w:right w:val="none" w:sz="0" w:space="0" w:color="auto"/>
          </w:divBdr>
        </w:div>
      </w:divsChild>
    </w:div>
    <w:div w:id="19918664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266744">
          <w:marLeft w:val="0pt"/>
          <w:marRight w:val="36pt"/>
          <w:marTop w:val="0pt"/>
          <w:marBottom w:val="0pt"/>
          <w:divBdr>
            <w:top w:val="none" w:sz="0" w:space="0" w:color="auto"/>
            <w:left w:val="none" w:sz="0" w:space="0" w:color="auto"/>
            <w:bottom w:val="none" w:sz="0" w:space="0" w:color="auto"/>
            <w:right w:val="none" w:sz="0" w:space="0" w:color="auto"/>
          </w:divBdr>
        </w:div>
        <w:div w:id="341203494">
          <w:marLeft w:val="0pt"/>
          <w:marRight w:val="0pt"/>
          <w:marTop w:val="0pt"/>
          <w:marBottom w:val="0pt"/>
          <w:divBdr>
            <w:top w:val="none" w:sz="0" w:space="0" w:color="auto"/>
            <w:left w:val="none" w:sz="0" w:space="0" w:color="auto"/>
            <w:bottom w:val="none" w:sz="0" w:space="0" w:color="auto"/>
            <w:right w:val="none" w:sz="0" w:space="0" w:color="auto"/>
          </w:divBdr>
        </w:div>
      </w:divsChild>
    </w:div>
    <w:div w:id="2052417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4217901">
          <w:marLeft w:val="0pt"/>
          <w:marRight w:val="36pt"/>
          <w:marTop w:val="0pt"/>
          <w:marBottom w:val="0pt"/>
          <w:divBdr>
            <w:top w:val="none" w:sz="0" w:space="0" w:color="auto"/>
            <w:left w:val="none" w:sz="0" w:space="0" w:color="auto"/>
            <w:bottom w:val="none" w:sz="0" w:space="0" w:color="auto"/>
            <w:right w:val="none" w:sz="0" w:space="0" w:color="auto"/>
          </w:divBdr>
        </w:div>
        <w:div w:id="181687670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ata.worldbank.org/country/united-states?view=chart" TargetMode="External"/><Relationship Id="rId18" Type="http://purl.oclc.org/ooxml/officeDocument/relationships/hyperlink" Target="https://www.datapandas.org/ranking/cost-of-living-by-state#table"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https://www.dol.gov/agencies/whd/minimum-wage/state" TargetMode="External"/><Relationship Id="rId17" Type="http://purl.oclc.org/ooxml/officeDocument/relationships/hyperlink" Target="https://www.bea.gov/data/gdp/gdp-state" TargetMode="External"/><Relationship Id="rId2" Type="http://purl.oclc.org/ooxml/officeDocument/relationships/numbering" Target="numbering.xml"/><Relationship Id="rId16" Type="http://purl.oclc.org/ooxml/officeDocument/relationships/hyperlink" Target="https://www.bea.gov/sites/default/files/2024-09/stgdppi2q24.xlsx" TargetMode="External"/><Relationship Id="rId20" Type="http://purl.oclc.org/ooxml/officeDocument/relationships/hyperlink" Target="https://data.worldbank.org/indicator/SI.POV.GINI?end=2022&amp;locations=US&amp;start=1963&amp;view=char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2.census.gov/programs-surveys/demo/tables/p60/282/tableA1.xlsx" TargetMode="External"/><Relationship Id="rId10" Type="http://purl.oclc.org/ooxml/officeDocument/relationships/image" Target="media/image2.png"/><Relationship Id="rId19" Type="http://purl.oclc.org/ooxml/officeDocument/relationships/hyperlink" Target="https://www.ers.usda.gov/data-products/rural-urban-continuum-cod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geeksforgeeks.org/elbow-method-for-optimal-value-of-k-in-kmeans/"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1730</Words>
  <Characters>9863</Characters>
  <Application>Microsoft Office Word</Application>
  <DocSecurity>0</DocSecurity>
  <Lines>82</Lines>
  <Paragraphs>23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Yun, Daren</cp:lastModifiedBy>
  <cp:revision>2</cp:revision>
  <dcterms:created xsi:type="dcterms:W3CDTF">2024-12-09T12:24:00Z</dcterms:created>
  <dcterms:modified xsi:type="dcterms:W3CDTF">2024-12-09T12:24:00Z</dcterms:modified>
</cp:coreProperties>
</file>