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18"/>
        <w:spacing w:before="310" w:line="219" w:lineRule="auto"/>
        <w:outlineLvl w:val="0"/>
        <w:rPr>
          <w:rFonts w:ascii="SimSun" w:hAnsi="SimSun" w:eastAsia="SimSun" w:cs="SimSun"/>
          <w:sz w:val="78"/>
          <w:szCs w:val="78"/>
        </w:rPr>
      </w:pP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教</w:t>
      </w:r>
      <w:r>
        <w:rPr>
          <w:rFonts w:ascii="SimSun" w:hAnsi="SimSun" w:eastAsia="SimSun" w:cs="SimSun"/>
          <w:sz w:val="78"/>
          <w:szCs w:val="78"/>
          <w:color w:val="F01000"/>
          <w:spacing w:val="23"/>
        </w:rPr>
        <w:t xml:space="preserve">  </w:t>
      </w: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育</w:t>
      </w:r>
      <w:r>
        <w:rPr>
          <w:rFonts w:ascii="SimSun" w:hAnsi="SimSun" w:eastAsia="SimSun" w:cs="SimSun"/>
          <w:sz w:val="78"/>
          <w:szCs w:val="78"/>
          <w:color w:val="F01000"/>
          <w:spacing w:val="29"/>
        </w:rPr>
        <w:t xml:space="preserve">  </w:t>
      </w: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部</w:t>
      </w:r>
      <w:r>
        <w:rPr>
          <w:rFonts w:ascii="SimSun" w:hAnsi="SimSun" w:eastAsia="SimSun" w:cs="SimSun"/>
          <w:sz w:val="78"/>
          <w:szCs w:val="78"/>
          <w:color w:val="F01000"/>
          <w:spacing w:val="2"/>
        </w:rPr>
        <w:t xml:space="preserve">  </w:t>
      </w: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办</w:t>
      </w:r>
      <w:r>
        <w:rPr>
          <w:rFonts w:ascii="SimSun" w:hAnsi="SimSun" w:eastAsia="SimSun" w:cs="SimSun"/>
          <w:sz w:val="78"/>
          <w:szCs w:val="78"/>
          <w:color w:val="F01000"/>
          <w:spacing w:val="1"/>
        </w:rPr>
        <w:t xml:space="preserve">  </w:t>
      </w: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公</w:t>
      </w:r>
      <w:r>
        <w:rPr>
          <w:rFonts w:ascii="SimSun" w:hAnsi="SimSun" w:eastAsia="SimSun" w:cs="SimSun"/>
          <w:sz w:val="78"/>
          <w:szCs w:val="78"/>
          <w:color w:val="F01000"/>
          <w:spacing w:val="339"/>
        </w:rPr>
        <w:t xml:space="preserve"> </w:t>
      </w:r>
      <w:r>
        <w:rPr>
          <w:rFonts w:ascii="SimSun" w:hAnsi="SimSun" w:eastAsia="SimSun" w:cs="SimSun"/>
          <w:sz w:val="78"/>
          <w:szCs w:val="78"/>
          <w:b/>
          <w:bCs/>
          <w:color w:val="F01000"/>
          <w:spacing w:val="-75"/>
          <w:w w:val="87"/>
        </w:rPr>
        <w:t>厅</w:t>
      </w:r>
    </w:p>
    <w:p>
      <w:pPr>
        <w:pStyle w:val="BodyText"/>
        <w:spacing w:line="261" w:lineRule="auto"/>
        <w:rPr/>
      </w:pPr>
      <w:r/>
    </w:p>
    <w:p>
      <w:pPr>
        <w:ind w:firstLine="79"/>
        <w:spacing w:line="60" w:lineRule="exact"/>
        <w:rPr/>
      </w:pPr>
      <w:r>
        <w:rPr>
          <w:position w:val="-1"/>
        </w:rPr>
        <w:drawing>
          <wp:inline distT="0" distB="0" distL="0" distR="0">
            <wp:extent cx="5556294" cy="3806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6294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2" w:lineRule="auto"/>
        <w:rPr/>
      </w:pPr>
      <w:r/>
    </w:p>
    <w:p>
      <w:pPr>
        <w:ind w:right="1"/>
        <w:spacing w:before="104" w:line="222" w:lineRule="auto"/>
        <w:jc w:val="right"/>
        <w:rPr>
          <w:rFonts w:ascii="SimHei" w:hAnsi="SimHei" w:eastAsia="SimHei" w:cs="SimHei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2"/>
        </w:rPr>
        <w:t>教科信厅函〔</w:t>
      </w:r>
      <w:r>
        <w:rPr>
          <w:rFonts w:ascii="SimHei" w:hAnsi="SimHei" w:eastAsia="SimHei" w:cs="SimHei"/>
          <w:sz w:val="32"/>
          <w:szCs w:val="32"/>
          <w:spacing w:val="12"/>
        </w:rPr>
        <w:t>2023〕5号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2025" w:right="1109" w:hanging="879"/>
        <w:spacing w:before="156" w:line="21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45"/>
        </w:rPr>
        <w:t>教育部办公厅关于印发《高等学校</w:t>
      </w:r>
      <w:r>
        <w:rPr>
          <w:rFonts w:ascii="SimSun" w:hAnsi="SimSun" w:eastAsia="SimSun" w:cs="SimSun"/>
          <w:sz w:val="48"/>
          <w:szCs w:val="48"/>
          <w:spacing w:val="13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-43"/>
        </w:rPr>
        <w:t>实验室安全规范》的通知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9" w:right="73"/>
        <w:spacing w:before="104" w:line="323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0"/>
        </w:rPr>
        <w:t>各省、自治区、直辖市教育厅(教委),新疆生产建设兵团教育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22"/>
        </w:rPr>
        <w:t>局，有关部门(单位)教育司(局),部属各高等学校、部省合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2"/>
        </w:rPr>
        <w:t>建各高等学校：</w:t>
      </w:r>
    </w:p>
    <w:p>
      <w:pPr>
        <w:ind w:left="9" w:firstLine="669"/>
        <w:spacing w:before="3" w:line="323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"/>
        </w:rPr>
        <w:t>为加强高校实验室安全工作，确保广大师生人身安全和校园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稳定，现将《高等学校实验室安全规范》印发给你们，请</w:t>
      </w:r>
      <w:r>
        <w:rPr>
          <w:rFonts w:ascii="FangSong" w:hAnsi="FangSong" w:eastAsia="FangSong" w:cs="FangSong"/>
          <w:sz w:val="32"/>
          <w:szCs w:val="32"/>
          <w:spacing w:val="-5"/>
        </w:rPr>
        <w:t>遵照执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7"/>
        </w:rPr>
        <w:t>行。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630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"/>
        </w:rPr>
        <w:t>教育部办公厅</w:t>
      </w:r>
    </w:p>
    <w:p>
      <w:pPr>
        <w:ind w:left="5510"/>
        <w:spacing w:before="155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4"/>
        </w:rPr>
        <w:t>2023年2月8日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" w:line="60" w:lineRule="exact"/>
        <w:rPr/>
      </w:pPr>
      <w:r>
        <w:rPr>
          <w:position w:val="-1"/>
        </w:rPr>
        <w:drawing>
          <wp:inline distT="0" distB="0" distL="0" distR="0">
            <wp:extent cx="5600726" cy="3806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26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" w:lineRule="exact"/>
        <w:sectPr>
          <w:pgSz w:w="11900" w:h="16840"/>
          <w:pgMar w:top="1431" w:right="1539" w:bottom="0" w:left="1489" w:header="0" w:footer="0" w:gutter="0"/>
        </w:sectPr>
        <w:rPr/>
      </w:pPr>
    </w:p>
    <w:p>
      <w:pPr>
        <w:pStyle w:val="BodyText"/>
        <w:spacing w:line="244" w:lineRule="auto"/>
        <w:rPr/>
      </w:pPr>
      <w:r/>
    </w:p>
    <w:p>
      <w:pPr>
        <w:ind w:left="2006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43"/>
        </w:rPr>
        <w:t>高等学校实验室安全规范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460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"/>
        </w:rPr>
        <w:t>第一章</w:t>
      </w:r>
      <w:r>
        <w:rPr>
          <w:rFonts w:ascii="SimHei" w:hAnsi="SimHei" w:eastAsia="SimHei" w:cs="SimHei"/>
          <w:sz w:val="32"/>
          <w:szCs w:val="32"/>
          <w:spacing w:val="14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1"/>
        </w:rPr>
        <w:t>总则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right="40" w:firstLine="669"/>
        <w:spacing w:before="104" w:line="30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6"/>
        </w:rPr>
        <w:t>第一条</w:t>
      </w:r>
      <w:r>
        <w:rPr>
          <w:rFonts w:ascii="KaiTi" w:hAnsi="KaiTi" w:eastAsia="KaiTi" w:cs="KaiTi"/>
          <w:sz w:val="32"/>
          <w:szCs w:val="32"/>
          <w:spacing w:val="-6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为了进一步加强高校实验室安全工作，有效防范和</w:t>
      </w:r>
      <w:r>
        <w:rPr>
          <w:rFonts w:ascii="FangSong" w:hAnsi="FangSong" w:eastAsia="FangSong" w:cs="FangSong"/>
          <w:sz w:val="32"/>
          <w:szCs w:val="32"/>
          <w:spacing w:val="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4"/>
        </w:rPr>
        <w:t>消除安全隐患，最大限度减少实验室安全事故，保障校园</w:t>
      </w:r>
      <w:r>
        <w:rPr>
          <w:rFonts w:ascii="FangSong" w:hAnsi="FangSong" w:eastAsia="FangSong" w:cs="FangSong"/>
          <w:sz w:val="32"/>
          <w:szCs w:val="32"/>
          <w:spacing w:val="3"/>
        </w:rPr>
        <w:t>安全、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师生生命安全和学校财产安全，根据《中华人民共和国安全生产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法》《中华人民共和国消防法》《生产安全事故报告和调查处理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4"/>
        </w:rPr>
        <w:t>条例》等国家法律法规，结合高校实际情况，制定本规范。</w:t>
      </w:r>
    </w:p>
    <w:p>
      <w:pPr>
        <w:ind w:firstLine="669"/>
        <w:spacing w:before="186" w:line="27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4"/>
        </w:rPr>
        <w:t>第二条</w:t>
      </w:r>
      <w:r>
        <w:rPr>
          <w:rFonts w:ascii="KaiTi" w:hAnsi="KaiTi" w:eastAsia="KaiTi" w:cs="KaiTi"/>
          <w:sz w:val="32"/>
          <w:szCs w:val="32"/>
          <w:spacing w:val="4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4"/>
        </w:rPr>
        <w:t>本规范中高校实验室，是指隶属于高校从事教学、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科研等实验实训活动的场所及其所属设施。</w:t>
      </w:r>
    </w:p>
    <w:p>
      <w:pPr>
        <w:ind w:right="296" w:firstLine="669"/>
        <w:spacing w:before="203" w:line="26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第三条</w:t>
      </w:r>
      <w:r>
        <w:rPr>
          <w:rFonts w:ascii="KaiTi" w:hAnsi="KaiTi" w:eastAsia="KaiTi" w:cs="KaiTi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5"/>
        </w:rPr>
        <w:t>高校实验室建设和使用应认真贯彻落实国家各项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安全相关法律法规，保障实验活动安全有序进行。</w:t>
      </w:r>
    </w:p>
    <w:p>
      <w:pPr>
        <w:ind w:right="160" w:firstLine="669"/>
        <w:spacing w:before="154" w:line="30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3"/>
        </w:rPr>
        <w:t>第四条</w:t>
      </w:r>
      <w:r>
        <w:rPr>
          <w:rFonts w:ascii="KaiTi" w:hAnsi="KaiTi" w:eastAsia="KaiTi" w:cs="KaiTi"/>
          <w:sz w:val="32"/>
          <w:szCs w:val="32"/>
          <w:spacing w:val="-1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13"/>
        </w:rPr>
        <w:t>高校实验室安全工作应坚持“安全第一、预防为主、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综合治理”的方针，实现规范化、常态化管理体制，重点落实安</w:t>
      </w:r>
      <w:r>
        <w:rPr>
          <w:rFonts w:ascii="FangSong" w:hAnsi="FangSong" w:eastAsia="FangSong" w:cs="FangSong"/>
          <w:sz w:val="32"/>
          <w:szCs w:val="32"/>
          <w:spacing w:val="1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全责任体系、管理制度、教育培训、安全准入</w:t>
      </w:r>
      <w:r>
        <w:rPr>
          <w:rFonts w:ascii="FangSong" w:hAnsi="FangSong" w:eastAsia="FangSong" w:cs="FangSong"/>
          <w:sz w:val="32"/>
          <w:szCs w:val="32"/>
          <w:spacing w:val="-6"/>
        </w:rPr>
        <w:t>、条件保障，以及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危险化学品等危险源的安全管理内容。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2340"/>
        <w:spacing w:before="10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"/>
        </w:rPr>
        <w:t>第二章</w:t>
      </w:r>
      <w:r>
        <w:rPr>
          <w:rFonts w:ascii="SimHei" w:hAnsi="SimHei" w:eastAsia="SimHei" w:cs="SimHei"/>
          <w:sz w:val="32"/>
          <w:szCs w:val="32"/>
          <w:spacing w:val="-1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"/>
        </w:rPr>
        <w:t>实验室安全责任体系</w: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669"/>
        <w:spacing w:before="101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第五条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5"/>
        </w:rPr>
        <w:t>校级安全责任体系</w:t>
      </w:r>
    </w:p>
    <w:p>
      <w:pPr>
        <w:ind w:right="292" w:firstLine="780"/>
        <w:spacing w:before="191" w:line="31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(一)学校应统筹管理实验室安全工作，把实验室安全工作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8"/>
        </w:rPr>
        <w:t>纳入学校事业发展规划。</w:t>
      </w:r>
    </w:p>
    <w:p>
      <w:pPr>
        <w:spacing w:line="314" w:lineRule="auto"/>
        <w:sectPr>
          <w:footerReference w:type="default" r:id="rId3"/>
          <w:pgSz w:w="11900" w:h="16840"/>
          <w:pgMar w:top="1431" w:right="1269" w:bottom="1946" w:left="1519" w:header="0" w:footer="1632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38" w:lineRule="auto"/>
        <w:rPr/>
      </w:pPr>
      <w:r/>
    </w:p>
    <w:p>
      <w:pPr>
        <w:ind w:right="99" w:firstLine="780"/>
        <w:spacing w:before="104" w:line="29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7"/>
        </w:rPr>
        <w:t>(二)学校实验室安全管理工作坚持“党政同责，一岗双责，</w:t>
      </w:r>
      <w:r>
        <w:rPr>
          <w:rFonts w:ascii="FangSong" w:hAnsi="FangSong" w:eastAsia="FangSong" w:cs="FangSong"/>
          <w:sz w:val="32"/>
          <w:szCs w:val="32"/>
          <w:spacing w:val="1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齐抓共管，失职追责”原则。党政主要负责人是第一责任人</w:t>
      </w:r>
      <w:r>
        <w:rPr>
          <w:rFonts w:ascii="FangSong" w:hAnsi="FangSong" w:eastAsia="FangSong" w:cs="FangSong"/>
          <w:sz w:val="32"/>
          <w:szCs w:val="32"/>
          <w:spacing w:val="-6"/>
        </w:rPr>
        <w:t>，分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管实验室工作的校领导是重要领导责任人，协助第一责任人负责</w:t>
      </w:r>
      <w:r>
        <w:rPr>
          <w:rFonts w:ascii="FangSong" w:hAnsi="FangSong" w:eastAsia="FangSong" w:cs="FangSong"/>
          <w:sz w:val="32"/>
          <w:szCs w:val="32"/>
          <w:spacing w:val="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实验室安全工作，其他校领导在分管工作范围内对实验室安全工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作负有支持、监督和指导职责。</w:t>
      </w:r>
    </w:p>
    <w:p>
      <w:pPr>
        <w:ind w:right="210" w:firstLine="780"/>
        <w:spacing w:before="197" w:line="27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(三)设立校级实验室安全工作领导机构，并明确人员和分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5"/>
        </w:rPr>
        <w:t>工。</w:t>
      </w:r>
    </w:p>
    <w:p>
      <w:pPr>
        <w:ind w:right="130" w:firstLine="780"/>
        <w:spacing w:before="199" w:line="28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(四)明确实验室安全主管职能部门、其他相关职能部门和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"/>
        </w:rPr>
        <w:t>二级教学科研单位(以下统称二级单位)实验室安全管理</w:t>
      </w:r>
      <w:r>
        <w:rPr>
          <w:rFonts w:ascii="FangSong" w:hAnsi="FangSong" w:eastAsia="FangSong" w:cs="FangSong"/>
          <w:sz w:val="32"/>
          <w:szCs w:val="32"/>
          <w:spacing w:val="-3"/>
        </w:rPr>
        <w:t>的职责，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"/>
        </w:rPr>
        <w:t>建立健全全员实验室安全责任制，配备足额的专职安全人员。</w:t>
      </w:r>
    </w:p>
    <w:p>
      <w:pPr>
        <w:ind w:left="780"/>
        <w:spacing w:before="174" w:line="22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(五)与各相关二级单位签订实验室安全责任书。</w:t>
      </w:r>
    </w:p>
    <w:p>
      <w:pPr>
        <w:ind w:firstLine="780"/>
        <w:spacing w:before="174" w:line="27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(六)建立健全项目风险评估与管控机制，尤其要依托现代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9"/>
        </w:rPr>
        <w:t>技术手段加强信息化建设，构建实验室安全全周期管理工作机制。</w:t>
      </w:r>
    </w:p>
    <w:p>
      <w:pPr>
        <w:ind w:left="780"/>
        <w:spacing w:before="183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(七)建立健全实验室安全教育培训与准入体系。</w:t>
      </w:r>
    </w:p>
    <w:p>
      <w:pPr>
        <w:ind w:left="780"/>
        <w:spacing w:before="175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(八)建立健全实验室安全分级分类管理体系。</w:t>
      </w:r>
    </w:p>
    <w:p>
      <w:pPr>
        <w:ind w:right="196" w:firstLine="780"/>
        <w:spacing w:before="182" w:line="27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(九)建立实验室安全隐患举报制度，公布实验室安全隐患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举报邮箱、电话、信箱等。</w:t>
      </w:r>
    </w:p>
    <w:p>
      <w:pPr>
        <w:ind w:left="679"/>
        <w:spacing w:before="177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3"/>
        </w:rPr>
        <w:t>第六条</w:t>
      </w:r>
      <w:r>
        <w:rPr>
          <w:rFonts w:ascii="KaiTi" w:hAnsi="KaiTi" w:eastAsia="KaiTi" w:cs="KaiTi"/>
          <w:sz w:val="31"/>
          <w:szCs w:val="31"/>
          <w:spacing w:val="24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3"/>
        </w:rPr>
        <w:t>二级单位安全责任体系</w:t>
      </w:r>
    </w:p>
    <w:p>
      <w:pPr>
        <w:ind w:right="205" w:firstLine="780"/>
        <w:spacing w:before="193" w:line="248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(一)二级单位党政负责人是实验室安全工作主要领导责任</w:t>
      </w:r>
      <w:r>
        <w:rPr>
          <w:rFonts w:ascii="FangSong" w:hAnsi="FangSong" w:eastAsia="FangSong" w:cs="FangSong"/>
          <w:sz w:val="32"/>
          <w:szCs w:val="32"/>
          <w:spacing w:val="17"/>
        </w:rPr>
        <w:t xml:space="preserve"> </w:t>
      </w:r>
      <w:r>
        <w:rPr>
          <w:rFonts w:ascii="FangSong" w:hAnsi="FangSong" w:eastAsia="FangSong" w:cs="FangSong"/>
          <w:sz w:val="39"/>
          <w:szCs w:val="39"/>
          <w:spacing w:val="-44"/>
        </w:rPr>
        <w:t>人。</w:t>
      </w:r>
    </w:p>
    <w:p>
      <w:pPr>
        <w:ind w:right="190" w:firstLine="780"/>
        <w:spacing w:before="157" w:line="27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(二)二级单位应明确分管实验室安全的班子成员和各实验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室安全管理人员。</w:t>
      </w:r>
    </w:p>
    <w:p>
      <w:pPr>
        <w:ind w:left="780"/>
        <w:spacing w:before="170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(三)与所属各实验室负责人签订安全责任书。</w:t>
      </w:r>
    </w:p>
    <w:p>
      <w:pPr>
        <w:spacing w:line="222" w:lineRule="auto"/>
        <w:sectPr>
          <w:footerReference w:type="default" r:id="rId4"/>
          <w:pgSz w:w="11900" w:h="16840"/>
          <w:pgMar w:top="1431" w:right="1359" w:bottom="1937" w:left="1509" w:header="0" w:footer="1639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18" w:lineRule="auto"/>
        <w:rPr/>
      </w:pPr>
      <w:r/>
    </w:p>
    <w:p>
      <w:pPr>
        <w:ind w:right="134" w:firstLine="780"/>
        <w:spacing w:before="104" w:line="27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(四)结合自身实际情况和学科专业特点，有针对性的建立</w:t>
      </w:r>
      <w:r>
        <w:rPr>
          <w:rFonts w:ascii="FangSong" w:hAnsi="FangSong" w:eastAsia="FangSong" w:cs="FangSong"/>
          <w:sz w:val="32"/>
          <w:szCs w:val="32"/>
          <w:spacing w:val="1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实验室安全教育培训与准入制度。</w:t>
      </w:r>
    </w:p>
    <w:p>
      <w:pPr>
        <w:ind w:right="137" w:firstLine="780"/>
        <w:spacing w:before="183" w:line="27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(五)定期开展实验室安全各类隐患检查，对隐患整改实行</w:t>
      </w:r>
      <w:r>
        <w:rPr>
          <w:rFonts w:ascii="FangSong" w:hAnsi="FangSong" w:eastAsia="FangSong" w:cs="FangSong"/>
          <w:sz w:val="32"/>
          <w:szCs w:val="32"/>
          <w:spacing w:val="1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6"/>
        </w:rPr>
        <w:t>闭环管理。</w:t>
      </w:r>
    </w:p>
    <w:p>
      <w:pPr>
        <w:ind w:left="780"/>
        <w:spacing w:before="174" w:line="22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(六)建立应急预案，定期进行培训和实施演练。</w:t>
      </w:r>
    </w:p>
    <w:p>
      <w:pPr>
        <w:ind w:left="679"/>
        <w:spacing w:before="187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6"/>
        </w:rPr>
        <w:t>第七条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6"/>
        </w:rPr>
        <w:t>实验室安全责任体系</w:t>
      </w:r>
    </w:p>
    <w:p>
      <w:pPr>
        <w:ind w:right="126" w:firstLine="780"/>
        <w:spacing w:before="182" w:line="28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(一)实验室负责人是本实验室安全工作的直接责任人，应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严格落实实验室安全准入、隐患整改、个人防护等日常安全</w:t>
      </w:r>
      <w:r>
        <w:rPr>
          <w:rFonts w:ascii="FangSong" w:hAnsi="FangSong" w:eastAsia="FangSong" w:cs="FangSong"/>
          <w:sz w:val="32"/>
          <w:szCs w:val="32"/>
          <w:spacing w:val="-6"/>
        </w:rPr>
        <w:t>管理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工作，切实保障实验室安全。</w:t>
      </w:r>
    </w:p>
    <w:p>
      <w:pPr>
        <w:ind w:right="126" w:firstLine="780"/>
        <w:spacing w:before="213" w:line="28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4"/>
        </w:rPr>
        <w:t>(二)项目负责人(含教学课程任课教师)是项目安全的第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一责任人，须对项目进行危险源辨识和风险评估，并制定防</w:t>
      </w:r>
      <w:r>
        <w:rPr>
          <w:rFonts w:ascii="FangSong" w:hAnsi="FangSong" w:eastAsia="FangSong" w:cs="FangSong"/>
          <w:sz w:val="32"/>
          <w:szCs w:val="32"/>
          <w:spacing w:val="-6"/>
        </w:rPr>
        <w:t>范措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施及现场处置方案。</w:t>
      </w:r>
    </w:p>
    <w:p>
      <w:pPr>
        <w:ind w:right="140" w:firstLine="780"/>
        <w:spacing w:before="183" w:line="27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(三)实验室负责人应指定安全员，负责本实验室日常安全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4"/>
        </w:rPr>
        <w:t>管理。</w:t>
      </w:r>
    </w:p>
    <w:p>
      <w:pPr>
        <w:ind w:right="117" w:firstLine="780"/>
        <w:spacing w:before="177" w:line="27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(四)实验室负责人应与相关实验人员签订安全责任书或承</w:t>
      </w:r>
      <w:r>
        <w:rPr>
          <w:rFonts w:ascii="FangSong" w:hAnsi="FangSong" w:eastAsia="FangSong" w:cs="FangSong"/>
          <w:sz w:val="32"/>
          <w:szCs w:val="32"/>
          <w:spacing w:val="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4"/>
        </w:rPr>
        <w:t>诺书。</w:t>
      </w:r>
    </w:p>
    <w:p>
      <w:pPr>
        <w:ind w:left="679"/>
        <w:spacing w:before="185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第八条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5"/>
        </w:rPr>
        <w:t>安全工作奖惩机制</w:t>
      </w:r>
    </w:p>
    <w:p>
      <w:pPr>
        <w:ind w:firstLine="780"/>
        <w:spacing w:before="166" w:line="27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"/>
        </w:rPr>
        <w:t>(一)强化学校主体责任，根据“谁使用、谁</w:t>
      </w:r>
      <w:r>
        <w:rPr>
          <w:rFonts w:ascii="FangSong" w:hAnsi="FangSong" w:eastAsia="FangSong" w:cs="FangSong"/>
          <w:sz w:val="32"/>
          <w:szCs w:val="32"/>
          <w:spacing w:val="-6"/>
        </w:rPr>
        <w:t>负责，谁主管、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谁负责”原则，把责任落实到岗位或个人。</w:t>
      </w:r>
    </w:p>
    <w:p>
      <w:pPr>
        <w:ind w:right="122" w:firstLine="780"/>
        <w:spacing w:before="179" w:line="29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(二)学校应将实验室安全工作纳入内部检查、日常工作考</w:t>
      </w:r>
      <w:r>
        <w:rPr>
          <w:rFonts w:ascii="FangSong" w:hAnsi="FangSong" w:eastAsia="FangSong" w:cs="FangSong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核和年终考评内容。对在实验室安全工作中成绩突出的单位和个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人给予表彰和奖励；对履职尽责不到位的个人和所在单位，应予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以批评和惩处，情节严重的追究其法律责任。</w:t>
      </w:r>
    </w:p>
    <w:p>
      <w:pPr>
        <w:spacing w:line="298" w:lineRule="auto"/>
        <w:sectPr>
          <w:footerReference w:type="default" r:id="rId5"/>
          <w:pgSz w:w="11900" w:h="16840"/>
          <w:pgMar w:top="1431" w:right="1429" w:bottom="1929" w:left="1509" w:header="0" w:footer="1641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66" w:lineRule="auto"/>
        <w:rPr/>
      </w:pPr>
      <w:r/>
    </w:p>
    <w:p>
      <w:pPr>
        <w:ind w:right="277" w:firstLine="760"/>
        <w:spacing w:before="101" w:line="3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1"/>
        </w:rPr>
        <w:t>(三)发生实验室安全事故后，依法依规开展事</w:t>
      </w:r>
      <w:r>
        <w:rPr>
          <w:rFonts w:ascii="FangSong" w:hAnsi="FangSong" w:eastAsia="FangSong" w:cs="FangSong"/>
          <w:sz w:val="31"/>
          <w:szCs w:val="31"/>
          <w:spacing w:val="10"/>
        </w:rPr>
        <w:t>故调查，严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肃追究责任单位及责任人的事故责任。</w:t>
      </w:r>
    </w:p>
    <w:p>
      <w:pPr>
        <w:pStyle w:val="BodyText"/>
        <w:spacing w:line="477" w:lineRule="auto"/>
        <w:rPr/>
      </w:pPr>
      <w:r/>
    </w:p>
    <w:p>
      <w:pPr>
        <w:ind w:left="2330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"/>
        </w:rPr>
        <w:t>第三章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2"/>
        </w:rPr>
        <w:t>实验室安全管理制度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firstLine="669"/>
        <w:spacing w:before="104" w:line="28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第九条</w:t>
      </w:r>
      <w:r>
        <w:rPr>
          <w:rFonts w:ascii="KaiTi" w:hAnsi="KaiTi" w:eastAsia="KaiTi" w:cs="KaiTi"/>
          <w:sz w:val="32"/>
          <w:szCs w:val="32"/>
          <w:spacing w:val="6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6"/>
        </w:rPr>
        <w:t>学校和二级单位应建立健全实验室</w:t>
      </w:r>
      <w:r>
        <w:rPr>
          <w:rFonts w:ascii="FangSong" w:hAnsi="FangSong" w:eastAsia="FangSong" w:cs="FangSong"/>
          <w:sz w:val="32"/>
          <w:szCs w:val="32"/>
          <w:spacing w:val="5"/>
        </w:rPr>
        <w:t>安全管理办法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4"/>
        </w:rPr>
        <w:t>和制度，出台规范性文件，确保具有可操作性和实际管</w:t>
      </w:r>
      <w:r>
        <w:rPr>
          <w:rFonts w:ascii="FangSong" w:hAnsi="FangSong" w:eastAsia="FangSong" w:cs="FangSong"/>
          <w:sz w:val="32"/>
          <w:szCs w:val="32"/>
          <w:spacing w:val="3"/>
        </w:rPr>
        <w:t>理效应，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并充分考虑学科专业特点和实验用途，及时修订更新。</w:t>
      </w:r>
    </w:p>
    <w:p>
      <w:pPr>
        <w:ind w:left="669"/>
        <w:spacing w:before="170" w:line="2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"/>
        </w:rPr>
        <w:t>第十条</w:t>
      </w:r>
      <w:r>
        <w:rPr>
          <w:rFonts w:ascii="KaiTi" w:hAnsi="KaiTi" w:eastAsia="KaiTi" w:cs="KaiTi"/>
          <w:sz w:val="32"/>
          <w:szCs w:val="32"/>
          <w:spacing w:val="-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实验室安全管理制度主要包括以下方面。</w:t>
      </w:r>
    </w:p>
    <w:p>
      <w:pPr>
        <w:ind w:right="149" w:firstLine="760"/>
        <w:spacing w:before="181" w:line="29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(一)安全检查制度：对实验室开展“全员、全过程、全要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素、全覆盖”的定期安全检查，核查安全制度、责任体系、安全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3"/>
        </w:rPr>
        <w:t>教育落实情况和设备设施存在的安全隐患，实行问题排查、登记、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5"/>
        </w:rPr>
        <w:t>报告、整改、复查的“闭环管理”。</w:t>
      </w:r>
    </w:p>
    <w:p>
      <w:pPr>
        <w:ind w:right="247" w:firstLine="760"/>
        <w:spacing w:before="204" w:line="29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(二)安全教育培训与准入制度：进入实验室学习或工</w:t>
      </w:r>
      <w:r>
        <w:rPr>
          <w:rFonts w:ascii="FangSong" w:hAnsi="FangSong" w:eastAsia="FangSong" w:cs="FangSong"/>
          <w:sz w:val="32"/>
          <w:szCs w:val="32"/>
          <w:spacing w:val="1"/>
        </w:rPr>
        <w:t>作的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所有人员应先进行安全知识、安全技能和操作规范培训，掌握设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备设施、防护用品正确使用的技能，考核合格后方可进入实验室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9"/>
        </w:rPr>
        <w:t>进行实验操作。</w:t>
      </w:r>
    </w:p>
    <w:p>
      <w:pPr>
        <w:ind w:right="257" w:firstLine="760"/>
        <w:spacing w:before="194" w:line="30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(三)项目风险评估与管控制度：凡涉及重要危险源，即有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6"/>
        </w:rPr>
        <w:t>毒有害化学品(剧毒、易制爆、易制毒、爆炸</w:t>
      </w:r>
      <w:r>
        <w:rPr>
          <w:rFonts w:ascii="FangSong" w:hAnsi="FangSong" w:eastAsia="FangSong" w:cs="FangSong"/>
          <w:sz w:val="32"/>
          <w:szCs w:val="32"/>
          <w:spacing w:val="5"/>
        </w:rPr>
        <w:t>品等)、危险气体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6"/>
        </w:rPr>
        <w:t>(易燃、易爆、有毒、窒息)、动物及病原</w:t>
      </w:r>
      <w:r>
        <w:rPr>
          <w:rFonts w:ascii="FangSong" w:hAnsi="FangSong" w:eastAsia="FangSong" w:cs="FangSong"/>
          <w:sz w:val="32"/>
          <w:szCs w:val="32"/>
          <w:spacing w:val="5"/>
        </w:rPr>
        <w:t>微生物、辐射源及射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线装置、同位素及核材料、危险性机械加工装置、强电强磁与激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光设备、特种设备等的教学、科研项目，应经过风险评估后方可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开展实验活动。对存在重大安全隐患的项目，在未切实落实安全</w:t>
      </w:r>
    </w:p>
    <w:p>
      <w:pPr>
        <w:spacing w:line="307" w:lineRule="auto"/>
        <w:sectPr>
          <w:footerReference w:type="default" r:id="rId6"/>
          <w:pgSz w:w="11900" w:h="16840"/>
          <w:pgMar w:top="1431" w:right="1300" w:bottom="1918" w:left="1529" w:header="0" w:footer="1709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29" w:lineRule="auto"/>
        <w:rPr/>
      </w:pPr>
      <w:r/>
    </w:p>
    <w:p>
      <w:pPr>
        <w:spacing w:before="104" w:line="22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"/>
        </w:rPr>
        <w:t>保障前，不得开展实验活动。</w:t>
      </w:r>
    </w:p>
    <w:p>
      <w:pPr>
        <w:ind w:firstLine="770"/>
        <w:spacing w:before="176" w:line="31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2"/>
        </w:rPr>
        <w:t>(四)危险源全周期管理制度：应对重要危险源进行采购、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运输、储存、使用、处置等全流程全周期管理</w:t>
      </w:r>
      <w:r>
        <w:rPr>
          <w:rFonts w:ascii="FangSong" w:hAnsi="FangSong" w:eastAsia="FangSong" w:cs="FangSong"/>
          <w:sz w:val="32"/>
          <w:szCs w:val="32"/>
          <w:spacing w:val="-6"/>
        </w:rPr>
        <w:t>。采购和运输应选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择具备相应资质的单位和渠道，储存要有专门储存场所</w:t>
      </w:r>
      <w:r>
        <w:rPr>
          <w:rFonts w:ascii="FangSong" w:hAnsi="FangSong" w:eastAsia="FangSong" w:cs="FangSong"/>
          <w:sz w:val="32"/>
          <w:szCs w:val="32"/>
          <w:spacing w:val="-7"/>
        </w:rPr>
        <w:t>并严格控</w:t>
      </w:r>
      <w:r>
        <w:rPr>
          <w:rFonts w:ascii="FangSong" w:hAnsi="FangSong" w:eastAsia="FangSong" w:cs="FangSong"/>
          <w:sz w:val="32"/>
          <w:szCs w:val="32"/>
        </w:rPr>
        <w:t xml:space="preserve">   </w:t>
      </w:r>
      <w:r>
        <w:rPr>
          <w:rFonts w:ascii="FangSong" w:hAnsi="FangSong" w:eastAsia="FangSong" w:cs="FangSong"/>
          <w:sz w:val="32"/>
          <w:szCs w:val="32"/>
          <w:spacing w:val="-6"/>
        </w:rPr>
        <w:t>制数量，使用时应由专人负责发放、回收和详细记录，实验后产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生的废物应统一收储并依法依规科学处置。应对危险源进行风险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评估，建立重大危险源安全风险分布档案和数</w:t>
      </w:r>
      <w:r>
        <w:rPr>
          <w:rFonts w:ascii="FangSong" w:hAnsi="FangSong" w:eastAsia="FangSong" w:cs="FangSong"/>
          <w:sz w:val="32"/>
          <w:szCs w:val="32"/>
          <w:spacing w:val="-6"/>
        </w:rPr>
        <w:t>据库，并制定危险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源分级分类处置方案。</w:t>
      </w:r>
    </w:p>
    <w:p>
      <w:pPr>
        <w:ind w:right="267" w:firstLine="770"/>
        <w:spacing w:before="164" w:line="30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(五)安全应急制度：学校、二级单位和实验室应建立应急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预案和应急演练制度，定期开展应急知识学习、应急处置培训和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应急演练，保障应急人员、物资、装备和经费，保证应急功能完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备、人员到位、装备齐全、响应及时。应定期检查实验防护用品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8"/>
        </w:rPr>
        <w:t>与装备、应急物资的有效性。</w:t>
      </w:r>
    </w:p>
    <w:p>
      <w:pPr>
        <w:ind w:right="20" w:firstLine="770"/>
        <w:spacing w:before="184" w:line="29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1"/>
        </w:rPr>
        <w:t>(六)实验室安全事故上报制度：出现实验室安全事故后，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t>学校应立即启动应急预案，采取措施控制事态发展，同时在1小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时内如实向所在地党委、政府及其相关部门和高校主管部门报告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情况，并抄报教育部，不得迟报、谎报、瞒报和漏报，并根据事</w:t>
      </w:r>
      <w:r>
        <w:rPr>
          <w:rFonts w:ascii="FangSong" w:hAnsi="FangSong" w:eastAsia="FangSong" w:cs="FangSong"/>
          <w:sz w:val="32"/>
          <w:szCs w:val="32"/>
          <w:spacing w:val="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态发展变化及时续报。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1869"/>
        <w:spacing w:before="105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"/>
        </w:rPr>
        <w:t>第四章</w:t>
      </w:r>
      <w:r>
        <w:rPr>
          <w:rFonts w:ascii="SimHei" w:hAnsi="SimHei" w:eastAsia="SimHei" w:cs="SimHei"/>
          <w:sz w:val="32"/>
          <w:szCs w:val="32"/>
          <w:spacing w:val="-1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"/>
        </w:rPr>
        <w:t>实验室安全教育培训、宣传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79"/>
        <w:spacing w:before="101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第十一条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5"/>
        </w:rPr>
        <w:t>开展教育培训活动</w:t>
      </w:r>
    </w:p>
    <w:p>
      <w:pPr>
        <w:ind w:left="770"/>
        <w:spacing w:before="18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(一)学校每年开展面向全校教职工和学生的安全教育培训</w:t>
      </w:r>
    </w:p>
    <w:p>
      <w:pPr>
        <w:spacing w:line="222" w:lineRule="auto"/>
        <w:sectPr>
          <w:footerReference w:type="default" r:id="rId7"/>
          <w:pgSz w:w="11900" w:h="16840"/>
          <w:pgMar w:top="1431" w:right="1290" w:bottom="1937" w:left="1519" w:header="0" w:footer="1639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28" w:lineRule="auto"/>
        <w:rPr/>
      </w:pPr>
      <w:r/>
    </w:p>
    <w:p>
      <w:pPr>
        <w:spacing w:before="104" w:line="21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8"/>
        </w:rPr>
        <w:t>活动，并存档记录。</w:t>
      </w:r>
    </w:p>
    <w:p>
      <w:pPr>
        <w:ind w:firstLine="780"/>
        <w:spacing w:before="182" w:line="27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2"/>
        </w:rPr>
        <w:t>(二)学校和二级单位开展结合学科专业特点的应急演练，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并对演练内容、参加人数、效果评价等进行有效记录。</w:t>
      </w:r>
    </w:p>
    <w:p>
      <w:pPr>
        <w:ind w:right="276" w:firstLine="780"/>
        <w:spacing w:before="167" w:line="28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(三)学校和二级单位根据实验需要，开展专业安全培训活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动，并组织安全培训考试，新入职的教职工、新入学的学生均应</w:t>
      </w:r>
      <w:r>
        <w:rPr>
          <w:rFonts w:ascii="FangSong" w:hAnsi="FangSong" w:eastAsia="FangSong" w:cs="FangSong"/>
          <w:sz w:val="32"/>
          <w:szCs w:val="32"/>
          <w:spacing w:val="1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参加并通过考试，对培训与考试进行有效记录。</w:t>
      </w:r>
    </w:p>
    <w:p>
      <w:pPr>
        <w:ind w:right="189" w:firstLine="780"/>
        <w:spacing w:before="177" w:line="27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(四)实验室应对进入实验室的人员进行操作工艺、设备使</w:t>
      </w:r>
      <w:r>
        <w:rPr>
          <w:rFonts w:ascii="FangSong" w:hAnsi="FangSong" w:eastAsia="FangSong" w:cs="FangSong"/>
          <w:sz w:val="32"/>
          <w:szCs w:val="32"/>
          <w:spacing w:val="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3"/>
        </w:rPr>
        <w:t>用、试剂或气体管理等标准操作规程的培训和评估，并记录存档。</w:t>
      </w:r>
    </w:p>
    <w:p>
      <w:pPr>
        <w:ind w:right="269" w:firstLine="679"/>
        <w:spacing w:before="181" w:line="27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第十二条</w:t>
      </w:r>
      <w:r>
        <w:rPr>
          <w:rFonts w:ascii="KaiTi" w:hAnsi="KaiTi" w:eastAsia="KaiTi" w:cs="KaiTi"/>
          <w:sz w:val="32"/>
          <w:szCs w:val="32"/>
          <w:spacing w:val="6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6"/>
        </w:rPr>
        <w:t>涉及重要危险源的高校应设置</w:t>
      </w:r>
      <w:r>
        <w:rPr>
          <w:rFonts w:ascii="FangSong" w:hAnsi="FangSong" w:eastAsia="FangSong" w:cs="FangSong"/>
          <w:sz w:val="32"/>
          <w:szCs w:val="32"/>
          <w:spacing w:val="5"/>
        </w:rPr>
        <w:t>有学分的实验室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安全课程或将安全准入教育培训纳入培养环节。</w:t>
      </w:r>
    </w:p>
    <w:p>
      <w:pPr>
        <w:ind w:right="271" w:firstLine="679"/>
        <w:spacing w:before="155" w:line="30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第十三条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加大安全教育宣传力度，提高师生安全意识。学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校和二级单位应按照“全员、全面、全程”的要求，创新宣传教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育形式，开展安全宣传、经验交流等活动，建设有特色的安全文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7"/>
        </w:rPr>
        <w:t>化。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219"/>
        <w:spacing w:before="105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"/>
        </w:rPr>
        <w:t>第五章</w:t>
      </w:r>
      <w:r>
        <w:rPr>
          <w:rFonts w:ascii="SimHei" w:hAnsi="SimHei" w:eastAsia="SimHei" w:cs="SimHei"/>
          <w:sz w:val="32"/>
          <w:szCs w:val="32"/>
          <w:spacing w:val="-1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"/>
        </w:rPr>
        <w:t>实验室教学、科研活动安全准入制度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right="219" w:firstLine="679"/>
        <w:spacing w:before="105" w:line="324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"/>
        </w:rPr>
        <w:t>第十四条</w:t>
      </w:r>
      <w:r>
        <w:rPr>
          <w:rFonts w:ascii="KaiTi" w:hAnsi="KaiTi" w:eastAsia="KaiTi" w:cs="KaiTi"/>
          <w:sz w:val="32"/>
          <w:szCs w:val="32"/>
          <w:spacing w:val="-1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1"/>
        </w:rPr>
        <w:t>开展涉及重要危险源的教学、科研活动(包括学</w:t>
      </w:r>
      <w:r>
        <w:rPr>
          <w:rFonts w:ascii="FangSong" w:hAnsi="FangSong" w:eastAsia="FangSong" w:cs="FangSong"/>
          <w:sz w:val="32"/>
          <w:szCs w:val="32"/>
          <w:spacing w:val="1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生实验课程、毕业设计、教师科研项目、自主立项研究、学</w:t>
      </w:r>
      <w:r>
        <w:rPr>
          <w:rFonts w:ascii="FangSong" w:hAnsi="FangSong" w:eastAsia="FangSong" w:cs="FangSong"/>
          <w:sz w:val="32"/>
          <w:szCs w:val="32"/>
          <w:spacing w:val="-7"/>
        </w:rPr>
        <w:t>科竞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12"/>
        </w:rPr>
        <w:t>赛实验课程等)之前，项目负责人(含教学课程任课教师)应对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实验项目在实验室实施过程中所涉及的内容进行危险源辨识、风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4"/>
        </w:rPr>
        <w:t>险评估和控制，制定现场处置方案，指导有关人员做好安全防护；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新录用人员在签订合同后、进入实验室前，应获得实验室准入资</w:t>
      </w:r>
    </w:p>
    <w:p>
      <w:pPr>
        <w:spacing w:line="324" w:lineRule="auto"/>
        <w:sectPr>
          <w:footerReference w:type="default" r:id="rId8"/>
          <w:pgSz w:w="11900" w:h="16840"/>
          <w:pgMar w:top="1431" w:right="1290" w:bottom="1929" w:left="1509" w:header="0" w:footer="1643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33" w:lineRule="auto"/>
        <w:rPr/>
      </w:pPr>
      <w:r/>
    </w:p>
    <w:p>
      <w:pPr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6"/>
        </w:rPr>
        <w:t>格。</w:t>
      </w:r>
    </w:p>
    <w:p>
      <w:pPr>
        <w:ind w:firstLine="679"/>
        <w:spacing w:before="190" w:line="28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第十五条</w:t>
      </w:r>
      <w:r>
        <w:rPr>
          <w:rFonts w:ascii="KaiTi" w:hAnsi="KaiTi" w:eastAsia="KaiTi" w:cs="KaiTi"/>
          <w:sz w:val="32"/>
          <w:szCs w:val="32"/>
          <w:spacing w:val="17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5"/>
        </w:rPr>
        <w:t>项目负责人(含教学课程任课教师)应针对本项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目特点制定具体的安全管理措施和安全教育方案，对参与本项目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9"/>
        </w:rPr>
        <w:t>的学生和工作人员等进行全员安全培训，依</w:t>
      </w:r>
      <w:r>
        <w:rPr>
          <w:rFonts w:ascii="FangSong" w:hAnsi="FangSong" w:eastAsia="FangSong" w:cs="FangSong"/>
          <w:sz w:val="32"/>
          <w:szCs w:val="32"/>
          <w:spacing w:val="-10"/>
        </w:rPr>
        <w:t>法履行安全告知义务。</w:t>
      </w:r>
    </w:p>
    <w:p>
      <w:pPr>
        <w:ind w:right="189" w:firstLine="679"/>
        <w:spacing w:before="177" w:line="28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第十六条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学生的研究选题，应包含针对开展实验研究所涉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及安全风险的分析、防控和应急处置措施等内容并通过审查，或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者单独就该选题进行安全分析并通过审查。</w:t>
      </w:r>
    </w:p>
    <w:p>
      <w:pPr>
        <w:ind w:right="181" w:firstLine="679"/>
        <w:spacing w:before="177" w:line="28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第十七条</w:t>
      </w:r>
      <w:r>
        <w:rPr>
          <w:rFonts w:ascii="KaiTi" w:hAnsi="KaiTi" w:eastAsia="KaiTi" w:cs="KaiTi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5"/>
        </w:rPr>
        <w:t>进入实验室学习或工作的所有人员均应遵守实</w:t>
      </w:r>
      <w:r>
        <w:rPr>
          <w:rFonts w:ascii="FangSong" w:hAnsi="FangSong" w:eastAsia="FangSong" w:cs="FangSong"/>
          <w:sz w:val="32"/>
          <w:szCs w:val="32"/>
          <w:spacing w:val="1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验室安全准入制度和安全管理制度，取得准入资格后，再严格按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照实验操作规程或实验指导书开展实验。</w:t>
      </w:r>
    </w:p>
    <w:p>
      <w:pPr>
        <w:ind w:right="185" w:firstLine="679"/>
        <w:spacing w:before="178" w:line="27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第十八条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学校、二级单位或实验室应与进入实验室的相关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"/>
        </w:rPr>
        <w:t>方或外来人员签订合同或安全协议，明确双方的安全职责。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350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</w:rPr>
        <w:t>第六章</w:t>
      </w:r>
      <w:r>
        <w:rPr>
          <w:rFonts w:ascii="SimHei" w:hAnsi="SimHei" w:eastAsia="SimHei" w:cs="SimHei"/>
          <w:sz w:val="32"/>
          <w:szCs w:val="32"/>
        </w:rPr>
        <w:t xml:space="preserve">  </w:t>
      </w:r>
      <w:r>
        <w:rPr>
          <w:rFonts w:ascii="SimHei" w:hAnsi="SimHei" w:eastAsia="SimHei" w:cs="SimHei"/>
          <w:sz w:val="32"/>
          <w:szCs w:val="32"/>
        </w:rPr>
        <w:t>实验室安全条件保障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679"/>
        <w:spacing w:before="105" w:line="2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2"/>
        </w:rPr>
        <w:t>第十九条</w:t>
      </w:r>
      <w:r>
        <w:rPr>
          <w:rFonts w:ascii="KaiTi" w:hAnsi="KaiTi" w:eastAsia="KaiTi" w:cs="KaiTi"/>
          <w:sz w:val="32"/>
          <w:szCs w:val="32"/>
          <w:spacing w:val="14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12"/>
        </w:rPr>
        <w:t>经费保障</w:t>
      </w:r>
    </w:p>
    <w:p>
      <w:pPr>
        <w:ind w:right="168" w:firstLine="790"/>
        <w:spacing w:before="151" w:line="27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(一)学校每年做好实验室安全常规经费预算，保障</w:t>
      </w:r>
      <w:r>
        <w:rPr>
          <w:rFonts w:ascii="FangSong" w:hAnsi="FangSong" w:eastAsia="FangSong" w:cs="FangSong"/>
          <w:sz w:val="32"/>
          <w:szCs w:val="32"/>
          <w:spacing w:val="1"/>
        </w:rPr>
        <w:t>安全工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作正常运行。</w:t>
      </w:r>
    </w:p>
    <w:p>
      <w:pPr>
        <w:ind w:right="179" w:firstLine="790"/>
        <w:spacing w:before="191" w:line="26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(二)学校应有专项经费投入实验室建设，同时确保安全隐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8"/>
        </w:rPr>
        <w:t>患整改工作及时落实。</w:t>
      </w:r>
    </w:p>
    <w:p>
      <w:pPr>
        <w:ind w:right="176" w:firstLine="790"/>
        <w:spacing w:before="201" w:line="28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1"/>
        </w:rPr>
        <w:t>(三)二级单位通过多元化投入，加强实验室安全建设与管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7"/>
        </w:rPr>
        <w:t>理。</w:t>
      </w:r>
    </w:p>
    <w:p>
      <w:pPr>
        <w:ind w:left="679"/>
        <w:spacing w:before="169" w:line="224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第二十条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4"/>
        </w:rPr>
        <w:t>物资与设施保障</w:t>
      </w:r>
    </w:p>
    <w:p>
      <w:pPr>
        <w:spacing w:line="224" w:lineRule="auto"/>
        <w:sectPr>
          <w:footerReference w:type="default" r:id="rId9"/>
          <w:pgSz w:w="11900" w:h="16840"/>
          <w:pgMar w:top="1431" w:right="1380" w:bottom="1946" w:left="1509" w:header="0" w:footer="1634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430" w:lineRule="auto"/>
        <w:rPr/>
      </w:pPr>
      <w:r/>
    </w:p>
    <w:p>
      <w:pPr>
        <w:ind w:right="34" w:firstLine="780"/>
        <w:spacing w:before="104" w:line="27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(一)高校加强安全物资保障，配备必要的安全防护设施和</w:t>
      </w:r>
      <w:r>
        <w:rPr>
          <w:rFonts w:ascii="FangSong" w:hAnsi="FangSong" w:eastAsia="FangSong" w:cs="FangSong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"/>
        </w:rPr>
        <w:t>器材，建立能够保障实验人员安全与健康的工作环境。</w:t>
      </w:r>
    </w:p>
    <w:p>
      <w:pPr>
        <w:spacing w:before="178" w:line="220" w:lineRule="auto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"/>
        </w:rPr>
        <w:t>(二)实验室配备合适的消防设施，并定期开</w:t>
      </w:r>
      <w:r>
        <w:rPr>
          <w:rFonts w:ascii="FangSong" w:hAnsi="FangSong" w:eastAsia="FangSong" w:cs="FangSong"/>
          <w:sz w:val="32"/>
          <w:szCs w:val="32"/>
          <w:spacing w:val="3"/>
        </w:rPr>
        <w:t>展使用训练。</w:t>
      </w:r>
    </w:p>
    <w:p>
      <w:pPr>
        <w:ind w:right="67" w:firstLine="780"/>
        <w:spacing w:before="166" w:line="27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(三)存在受到化学和生物伤害可能的区域，配置应急喷淋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9"/>
        </w:rPr>
        <w:t>和洗眼装置。</w:t>
      </w:r>
    </w:p>
    <w:p>
      <w:pPr>
        <w:ind w:left="780"/>
        <w:spacing w:before="158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5"/>
        </w:rPr>
        <w:t>(四)重点场所安装门禁和监控设施，并有专人管</w:t>
      </w:r>
      <w:r>
        <w:rPr>
          <w:rFonts w:ascii="FangSong" w:hAnsi="FangSong" w:eastAsia="FangSong" w:cs="FangSong"/>
          <w:sz w:val="32"/>
          <w:szCs w:val="32"/>
          <w:spacing w:val="4"/>
        </w:rPr>
        <w:t>理。</w:t>
      </w:r>
    </w:p>
    <w:p>
      <w:pPr>
        <w:ind w:left="679"/>
        <w:spacing w:before="211" w:line="2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4"/>
        </w:rPr>
        <w:t>第二十一条</w:t>
      </w:r>
      <w:r>
        <w:rPr>
          <w:rFonts w:ascii="KaiTi" w:hAnsi="KaiTi" w:eastAsia="KaiTi" w:cs="KaiTi"/>
          <w:sz w:val="32"/>
          <w:szCs w:val="32"/>
          <w:spacing w:val="-4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4"/>
        </w:rPr>
        <w:t>加强队伍建设，有充足的人力</w:t>
      </w:r>
      <w:r>
        <w:rPr>
          <w:rFonts w:ascii="FangSong" w:hAnsi="FangSong" w:eastAsia="FangSong" w:cs="FangSong"/>
          <w:sz w:val="32"/>
          <w:szCs w:val="32"/>
          <w:spacing w:val="-5"/>
        </w:rPr>
        <w:t>保障</w:t>
      </w:r>
    </w:p>
    <w:p>
      <w:pPr>
        <w:ind w:right="50" w:firstLine="780"/>
        <w:spacing w:before="161" w:line="28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"/>
        </w:rPr>
        <w:t>(一)学校根据实验室安全工作的实际情况和需</w:t>
      </w:r>
      <w:r>
        <w:rPr>
          <w:rFonts w:ascii="FangSong" w:hAnsi="FangSong" w:eastAsia="FangSong" w:cs="FangSong"/>
          <w:sz w:val="32"/>
          <w:szCs w:val="32"/>
          <w:spacing w:val="1"/>
        </w:rPr>
        <w:t>求配备专职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实验室安全管理人员，并不断提高其素质和能力。推进专业安全</w:t>
      </w:r>
      <w:r>
        <w:rPr>
          <w:rFonts w:ascii="FangSong" w:hAnsi="FangSong" w:eastAsia="FangSong" w:cs="FangSong"/>
          <w:sz w:val="32"/>
          <w:szCs w:val="32"/>
          <w:spacing w:val="1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队伍建设，保障队伍稳定和可持续发展。</w:t>
      </w:r>
    </w:p>
    <w:p>
      <w:pPr>
        <w:ind w:right="53" w:firstLine="780"/>
        <w:spacing w:before="183" w:line="29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(二)学校和二级单位分别设立实验室安全督查队伍，定期</w:t>
      </w:r>
      <w:r>
        <w:rPr>
          <w:rFonts w:ascii="FangSong" w:hAnsi="FangSong" w:eastAsia="FangSong" w:cs="FangSong"/>
          <w:sz w:val="32"/>
          <w:szCs w:val="32"/>
          <w:spacing w:val="1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开展安全检查，并提供检查报告和整改意见</w:t>
      </w:r>
      <w:r>
        <w:rPr>
          <w:rFonts w:ascii="FangSong" w:hAnsi="FangSong" w:eastAsia="FangSong" w:cs="FangSong"/>
          <w:sz w:val="32"/>
          <w:szCs w:val="32"/>
          <w:spacing w:val="-6"/>
        </w:rPr>
        <w:t>。实验室安全督查队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6"/>
        </w:rPr>
        <w:t>伍可由在职教师、实验技术人员(含退休返聘人员)及校外专家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5"/>
        </w:rPr>
        <w:t>组成。</w:t>
      </w:r>
    </w:p>
    <w:p>
      <w:pPr>
        <w:ind w:right="69" w:firstLine="780"/>
        <w:spacing w:before="198" w:line="27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"/>
        </w:rPr>
        <w:t>(三)实验室安全管理相关负责人应接受实验室安全管理培</w:t>
      </w:r>
      <w:r>
        <w:rPr>
          <w:rFonts w:ascii="FangSong" w:hAnsi="FangSong" w:eastAsia="FangSong" w:cs="FangSong"/>
          <w:sz w:val="32"/>
          <w:szCs w:val="32"/>
          <w:spacing w:val="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训后上岗，并定期轮训。</w:t>
      </w:r>
    </w:p>
    <w:p>
      <w:pPr>
        <w:ind w:left="679"/>
        <w:spacing w:before="173" w:line="2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"/>
        </w:rPr>
        <w:t>第二十二条</w:t>
      </w:r>
      <w:r>
        <w:rPr>
          <w:rFonts w:ascii="KaiTi" w:hAnsi="KaiTi" w:eastAsia="KaiTi" w:cs="KaiTi"/>
          <w:sz w:val="32"/>
          <w:szCs w:val="32"/>
          <w:spacing w:val="-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实验室建筑安全保障</w:t>
      </w:r>
    </w:p>
    <w:p>
      <w:pPr>
        <w:ind w:right="46" w:firstLine="679"/>
        <w:spacing w:before="177" w:line="322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6"/>
        </w:rPr>
        <w:t>实验室工程项目(新建、改建、扩建、维修以及装</w:t>
      </w:r>
      <w:r>
        <w:rPr>
          <w:rFonts w:ascii="FangSong" w:hAnsi="FangSong" w:eastAsia="FangSong" w:cs="FangSong"/>
          <w:sz w:val="32"/>
          <w:szCs w:val="32"/>
          <w:spacing w:val="5"/>
        </w:rPr>
        <w:t>修等)在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论证、立项、建设以及验收时，应当依法依规进行，并通过学校</w:t>
      </w:r>
      <w:r>
        <w:rPr>
          <w:rFonts w:ascii="FangSong" w:hAnsi="FangSong" w:eastAsia="FangSong" w:cs="FangSong"/>
          <w:sz w:val="32"/>
          <w:szCs w:val="32"/>
          <w:spacing w:val="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"/>
        </w:rPr>
        <w:t>实验室安全职能部门组织的审核后，方可实施。</w:t>
      </w:r>
    </w:p>
    <w:p>
      <w:pPr>
        <w:pStyle w:val="BodyText"/>
        <w:spacing w:line="455" w:lineRule="auto"/>
        <w:rPr/>
      </w:pPr>
      <w:r/>
    </w:p>
    <w:p>
      <w:pPr>
        <w:ind w:left="1869"/>
        <w:spacing w:before="10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"/>
        </w:rPr>
        <w:t>第七章</w:t>
      </w:r>
      <w:r>
        <w:rPr>
          <w:rFonts w:ascii="SimHei" w:hAnsi="SimHei" w:eastAsia="SimHei" w:cs="SimHei"/>
          <w:sz w:val="32"/>
          <w:szCs w:val="32"/>
          <w:spacing w:val="156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"/>
        </w:rPr>
        <w:t>实验室危险化学品安全管理</w:t>
      </w:r>
    </w:p>
    <w:p>
      <w:pPr>
        <w:spacing w:line="221" w:lineRule="auto"/>
        <w:sectPr>
          <w:footerReference w:type="default" r:id="rId10"/>
          <w:pgSz w:w="11900" w:h="16840"/>
          <w:pgMar w:top="1431" w:right="1510" w:bottom="1886" w:left="1509" w:header="0" w:footer="1681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427" w:lineRule="auto"/>
        <w:rPr/>
      </w:pPr>
      <w:r/>
    </w:p>
    <w:p>
      <w:pPr>
        <w:ind w:right="248" w:firstLine="669"/>
        <w:spacing w:before="104" w:line="30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第二十三条</w:t>
      </w:r>
      <w:r>
        <w:rPr>
          <w:rFonts w:ascii="KaiTi" w:hAnsi="KaiTi" w:eastAsia="KaiTi" w:cs="KaiTi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5"/>
        </w:rPr>
        <w:t>危险化学品须向具有生产经营许可资质的单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位购买；剧毒化学品、易制毒化学品、易制爆化学品、麻醉药品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和第一类精神药品、爆炸品等购买前须经学校</w:t>
      </w:r>
      <w:r>
        <w:rPr>
          <w:rFonts w:ascii="FangSong" w:hAnsi="FangSong" w:eastAsia="FangSong" w:cs="FangSong"/>
          <w:sz w:val="32"/>
          <w:szCs w:val="32"/>
          <w:spacing w:val="-6"/>
        </w:rPr>
        <w:t>审批，报公安部门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批准或备案后，向具有经营许可资质的单位购买，并保留报批及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审批记录；麻醉药品、精神药品等购买前还须向药品监督管理部</w:t>
      </w:r>
      <w:r>
        <w:rPr>
          <w:rFonts w:ascii="FangSong" w:hAnsi="FangSong" w:eastAsia="FangSong" w:cs="FangSong"/>
          <w:sz w:val="32"/>
          <w:szCs w:val="32"/>
          <w:spacing w:val="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门申请，报批同意后向定点供应商采购。</w:t>
      </w:r>
    </w:p>
    <w:p>
      <w:pPr>
        <w:ind w:right="209" w:firstLine="669"/>
        <w:spacing w:before="190" w:line="29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第二十四条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对危险化学品建立动态管理台账，实验室设置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专用存放空间并科学有序存放，存放的危险化学品总量符合规定</w:t>
      </w:r>
      <w:r>
        <w:rPr>
          <w:rFonts w:ascii="FangSong" w:hAnsi="FangSong" w:eastAsia="FangSong" w:cs="FangSong"/>
          <w:sz w:val="32"/>
          <w:szCs w:val="32"/>
          <w:spacing w:val="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"/>
        </w:rPr>
        <w:t>要求，并按照化学试剂性质分类规范存放，化学品(含配</w:t>
      </w:r>
      <w:r>
        <w:rPr>
          <w:rFonts w:ascii="FangSong" w:hAnsi="FangSong" w:eastAsia="FangSong" w:cs="FangSong"/>
          <w:sz w:val="32"/>
          <w:szCs w:val="32"/>
          <w:spacing w:val="-4"/>
        </w:rPr>
        <w:t>制试剂)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标签应完整清晰。</w:t>
      </w:r>
    </w:p>
    <w:p>
      <w:pPr>
        <w:ind w:firstLine="669"/>
        <w:spacing w:before="169" w:line="31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第二十五条</w:t>
      </w:r>
      <w:r>
        <w:rPr>
          <w:rFonts w:ascii="KaiTi" w:hAnsi="KaiTi" w:eastAsia="KaiTi" w:cs="KaiTi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3"/>
        </w:rPr>
        <w:t>管制化学品的安全管理须符合治安管理要求，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"/>
        </w:rPr>
        <w:t>严格执行各项规定。剧毒化学品执行“五双”管理(即双人验收、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6"/>
        </w:rPr>
        <w:t>双人保管、双人发货、双把锁、双本账),单独存放、不得与易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燃、易爆、腐蚀性物品等一起存放，有专人管理并做好贮存、领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</w:rPr>
        <w:t>取、发放情况登记，登记资料至少保存1年，防盗等技防措施符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合管制要求；易制毒化学品应设置专用存储</w:t>
      </w:r>
      <w:r>
        <w:rPr>
          <w:rFonts w:ascii="FangSong" w:hAnsi="FangSong" w:eastAsia="FangSong" w:cs="FangSong"/>
          <w:sz w:val="32"/>
          <w:szCs w:val="32"/>
          <w:spacing w:val="-6"/>
        </w:rPr>
        <w:t>区或者专柜储存并有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防盗措施，其中第一类易制毒化学品、药品类易制毒化学品实行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 </w:t>
      </w:r>
      <w:r>
        <w:rPr>
          <w:rFonts w:ascii="FangSong" w:hAnsi="FangSong" w:eastAsia="FangSong" w:cs="FangSong"/>
          <w:sz w:val="32"/>
          <w:szCs w:val="32"/>
        </w:rPr>
        <w:t>双人双锁管理，账册保存期限不少于2年；易制爆化学品存量合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规，设立专用存储区或者专柜储存并有防盗与防爆措施，符合双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4"/>
        </w:rPr>
        <w:t>人双锁管理要求；麻醉药品和第一类精神药品应当有专用账册，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设立专用存储区或者专柜储存，专用存储区与专柜的防盗等技防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5"/>
        </w:rPr>
        <w:t>措施符合管制要求，实行双人双锁管理；爆炸品单独隔离、限量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4"/>
        </w:rPr>
        <w:t>存储，使用、销毁按照公安部门要求执行。</w:t>
      </w:r>
    </w:p>
    <w:p>
      <w:pPr>
        <w:spacing w:line="311" w:lineRule="auto"/>
        <w:sectPr>
          <w:footerReference w:type="default" r:id="rId11"/>
          <w:pgSz w:w="11900" w:h="16840"/>
          <w:pgMar w:top="1431" w:right="1299" w:bottom="1937" w:left="1519" w:header="0" w:footer="1639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439" w:lineRule="auto"/>
        <w:rPr/>
      </w:pPr>
      <w:r/>
    </w:p>
    <w:p>
      <w:pPr>
        <w:ind w:right="83" w:firstLine="669"/>
        <w:spacing w:before="104" w:line="27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第二十六条</w:t>
      </w:r>
      <w:r>
        <w:rPr>
          <w:rFonts w:ascii="KaiTi" w:hAnsi="KaiTi" w:eastAsia="KaiTi" w:cs="KaiTi"/>
          <w:sz w:val="32"/>
          <w:szCs w:val="32"/>
          <w:spacing w:val="5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5"/>
        </w:rPr>
        <w:t>进口危险化学品应当向国务院安全生产监督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"/>
        </w:rPr>
        <w:t>管理部门负责危险化学品登记的机构办理危</w:t>
      </w:r>
      <w:r>
        <w:rPr>
          <w:rFonts w:ascii="FangSong" w:hAnsi="FangSong" w:eastAsia="FangSong" w:cs="FangSong"/>
          <w:sz w:val="32"/>
          <w:szCs w:val="32"/>
          <w:spacing w:val="-3"/>
        </w:rPr>
        <w:t>险化学品登记。</w:t>
      </w:r>
    </w:p>
    <w:p>
      <w:pPr>
        <w:ind w:right="79" w:firstLine="669"/>
        <w:spacing w:before="182" w:line="27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第二十七条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学校应建有危险品存储区、化学实验废物贮存</w:t>
      </w:r>
      <w:r>
        <w:rPr>
          <w:rFonts w:ascii="FangSong" w:hAnsi="FangSong" w:eastAsia="FangSong" w:cs="FangSong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站，对化学实验废物集中定点存放。</w:t>
      </w:r>
    </w:p>
    <w:p>
      <w:pPr>
        <w:ind w:right="72" w:firstLine="669"/>
        <w:spacing w:before="172" w:line="28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第二十八条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建立化学实验危废管理制度，按要求制定实验</w:t>
      </w:r>
      <w:r>
        <w:rPr>
          <w:rFonts w:ascii="FangSong" w:hAnsi="FangSong" w:eastAsia="FangSong" w:cs="FangSong"/>
          <w:sz w:val="32"/>
          <w:szCs w:val="32"/>
          <w:spacing w:val="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危废管理计划并报生态环境部门备案；委托有相应危险废物经营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许可证的单位，对实验危废进行清运、处置。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3460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8"/>
        </w:rPr>
        <w:t>第八章</w:t>
      </w:r>
      <w:r>
        <w:rPr>
          <w:rFonts w:ascii="SimHei" w:hAnsi="SimHei" w:eastAsia="SimHei" w:cs="SimHei"/>
          <w:sz w:val="32"/>
          <w:szCs w:val="32"/>
          <w:spacing w:val="10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8"/>
        </w:rPr>
        <w:t>附则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right="70" w:firstLine="669"/>
        <w:spacing w:before="104" w:line="29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6"/>
        </w:rPr>
        <w:t>第二十九条</w:t>
      </w:r>
      <w:r>
        <w:rPr>
          <w:rFonts w:ascii="KaiTi" w:hAnsi="KaiTi" w:eastAsia="KaiTi" w:cs="KaiTi"/>
          <w:sz w:val="32"/>
          <w:szCs w:val="32"/>
          <w:spacing w:val="-6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对因违反国家法律法规、违反学校</w:t>
      </w:r>
      <w:r>
        <w:rPr>
          <w:rFonts w:ascii="FangSong" w:hAnsi="FangSong" w:eastAsia="FangSong" w:cs="FangSong"/>
          <w:sz w:val="32"/>
          <w:szCs w:val="32"/>
          <w:spacing w:val="-7"/>
        </w:rPr>
        <w:t>安全管理相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关规定、操作失误、未履行安全管理职责等造成</w:t>
      </w:r>
      <w:r>
        <w:rPr>
          <w:rFonts w:ascii="FangSong" w:hAnsi="FangSong" w:eastAsia="FangSong" w:cs="FangSong"/>
          <w:sz w:val="32"/>
          <w:szCs w:val="32"/>
          <w:spacing w:val="-6"/>
        </w:rPr>
        <w:t>实验室安全责任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事故、事件的，将进行严肃追责问责，具体参照高校实验室安全</w:t>
      </w:r>
      <w:r>
        <w:rPr>
          <w:rFonts w:ascii="FangSong" w:hAnsi="FangSong" w:eastAsia="FangSong" w:cs="FangSong"/>
          <w:sz w:val="32"/>
          <w:szCs w:val="32"/>
          <w:spacing w:val="1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"/>
        </w:rPr>
        <w:t>事故事件追责问责相关办法。</w:t>
      </w:r>
    </w:p>
    <w:p>
      <w:pPr>
        <w:ind w:firstLine="669"/>
        <w:spacing w:before="164" w:line="27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第三十条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高校应根据本规范，结合本校实际情况，制定各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"/>
        </w:rPr>
        <w:t>项具体实施办法。各类实验室要符合国家行业相关实验室标准。</w:t>
      </w:r>
    </w:p>
    <w:p>
      <w:pPr>
        <w:ind w:left="669"/>
        <w:spacing w:before="176" w:line="2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7"/>
        </w:rPr>
        <w:t>第三十一条</w:t>
      </w:r>
      <w:r>
        <w:rPr>
          <w:rFonts w:ascii="KaiTi" w:hAnsi="KaiTi" w:eastAsia="KaiTi" w:cs="KaiTi"/>
          <w:sz w:val="32"/>
          <w:szCs w:val="32"/>
          <w:spacing w:val="-7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本规范自发布之日起施行。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4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7"/>
        </w:rPr>
        <w:t>(此件主动公开)</w:t>
      </w:r>
    </w:p>
    <w:p>
      <w:pPr>
        <w:spacing w:line="32" w:lineRule="exact"/>
        <w:rPr/>
      </w:pPr>
      <w:r/>
    </w:p>
    <w:tbl>
      <w:tblPr>
        <w:tblStyle w:val="TableNormal"/>
        <w:tblW w:w="88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75"/>
        <w:gridCol w:w="3717"/>
      </w:tblGrid>
      <w:tr>
        <w:trPr>
          <w:trHeight w:val="500" w:hRule="atLeast"/>
        </w:trPr>
        <w:tc>
          <w:tcPr>
            <w:tcW w:w="5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"/>
              <w:spacing w:before="116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1"/>
              </w:rPr>
              <w:t>部内发送：有关部领导，办公厅</w:t>
            </w:r>
          </w:p>
        </w:tc>
        <w:tc>
          <w:tcPr>
            <w:tcW w:w="3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0" w:hRule="atLeast"/>
        </w:trPr>
        <w:tc>
          <w:tcPr>
            <w:tcW w:w="5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0"/>
              <w:spacing w:before="136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2"/>
              </w:rPr>
              <w:t>教育部办公厅</w:t>
            </w:r>
          </w:p>
        </w:tc>
        <w:tc>
          <w:tcPr>
            <w:tcW w:w="3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before="136" w:line="219" w:lineRule="auto"/>
              <w:jc w:val="right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</w:rPr>
              <w:t>2023年2月14日印发</w:t>
            </w:r>
          </w:p>
        </w:tc>
      </w:tr>
    </w:tbl>
    <w:p>
      <w:pPr>
        <w:pStyle w:val="BodyText"/>
        <w:spacing w:line="160" w:lineRule="exact"/>
        <w:rPr>
          <w:sz w:val="13"/>
        </w:rPr>
      </w:pPr>
      <w:r/>
    </w:p>
    <w:sectPr>
      <w:footerReference w:type="default" r:id="rId12"/>
      <w:pgSz w:w="11900" w:h="16840"/>
      <w:pgMar w:top="1431" w:right="1484" w:bottom="1954" w:left="1519" w:header="0" w:footer="162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23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3"/>
      </w:rPr>
      <w:t>—</w:t>
    </w:r>
    <w:r>
      <w:rPr>
        <w:rFonts w:ascii="SimSun" w:hAnsi="SimSun" w:eastAsia="SimSun" w:cs="SimSun"/>
        <w:sz w:val="24"/>
        <w:szCs w:val="24"/>
        <w:strike/>
        <w:spacing w:val="-3"/>
      </w:rPr>
      <w:t>2</w:t>
    </w:r>
    <w:r>
      <w:rPr>
        <w:rFonts w:ascii="SimSun" w:hAnsi="SimSun" w:eastAsia="SimSun" w:cs="SimSun"/>
        <w:sz w:val="24"/>
        <w:szCs w:val="24"/>
        <w:spacing w:val="-3"/>
      </w:rPr>
      <w:t>—</w:t>
    </w:r>
    <w:r>
      <w:rPr>
        <w:rFonts w:ascii="SimSun" w:hAnsi="SimSun" w:eastAsia="SimSun" w:cs="SimSun"/>
        <w:sz w:val="24"/>
        <w:szCs w:val="24"/>
        <w:strike/>
      </w:rPr>
      <w:t xml:space="preserve">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trike/>
        <w:spacing w:val="-3"/>
      </w:rPr>
      <w:t>—3</w:t>
    </w:r>
    <w:r>
      <w:rPr>
        <w:rFonts w:ascii="SimSun" w:hAnsi="SimSun" w:eastAsia="SimSun" w:cs="SimSun"/>
        <w:sz w:val="23"/>
        <w:szCs w:val="23"/>
        <w:spacing w:val="-3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9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—4—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98" w:lineRule="exact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6"/>
        <w:position w:val="-2"/>
      </w:rPr>
      <w:t>—</w:t>
    </w:r>
    <w:r>
      <w:rPr>
        <w:rFonts w:ascii="SimSun" w:hAnsi="SimSun" w:eastAsia="SimSun" w:cs="SimSun"/>
        <w:sz w:val="26"/>
        <w:szCs w:val="26"/>
        <w:spacing w:val="-52"/>
        <w:position w:val="-2"/>
      </w:rPr>
      <w:t xml:space="preserve"> </w:t>
    </w:r>
    <w:r>
      <w:rPr>
        <w:rFonts w:ascii="Times New Roman" w:hAnsi="Times New Roman" w:eastAsia="Times New Roman" w:cs="Times New Roman"/>
        <w:sz w:val="26"/>
        <w:szCs w:val="26"/>
        <w:b/>
        <w:bCs/>
        <w:spacing w:val="-6"/>
        <w:position w:val="-2"/>
      </w:rPr>
      <w:t>5</w:t>
    </w:r>
    <w:r>
      <w:rPr>
        <w:rFonts w:ascii="Times New Roman" w:hAnsi="Times New Roman" w:eastAsia="Times New Roman" w:cs="Times New Roman"/>
        <w:sz w:val="26"/>
        <w:szCs w:val="26"/>
        <w:b/>
        <w:bCs/>
        <w:spacing w:val="24"/>
        <w:position w:val="-2"/>
      </w:rPr>
      <w:t xml:space="preserve"> </w:t>
    </w:r>
    <w:r>
      <w:rPr>
        <w:rFonts w:ascii="SimSun" w:hAnsi="SimSun" w:eastAsia="SimSun" w:cs="SimSun"/>
        <w:sz w:val="26"/>
        <w:szCs w:val="26"/>
        <w:spacing w:val="-6"/>
        <w:position w:val="-2"/>
      </w:rPr>
      <w:t>—</w:t>
    </w:r>
  </w:p>
  <w:p>
    <w:pPr>
      <w:ind w:left="3959"/>
      <w:spacing w:line="0" w:lineRule="exact"/>
      <w:rPr/>
    </w:pPr>
    <w:r>
      <w:rPr/>
      <w:drawing>
        <wp:inline distT="0" distB="0" distL="0" distR="0">
          <wp:extent cx="196846" cy="66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6846" cy="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trike/>
        <w:spacing w:val="-3"/>
      </w:rPr>
      <w:t>—6</w:t>
    </w:r>
    <w:r>
      <w:rPr>
        <w:rFonts w:ascii="SimSun" w:hAnsi="SimSun" w:eastAsia="SimSun" w:cs="SimSun"/>
        <w:sz w:val="23"/>
        <w:szCs w:val="23"/>
        <w:spacing w:val="-3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—7—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before="1" w:line="231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3"/>
      </w:rPr>
      <w:t>—</w:t>
    </w:r>
    <w:r>
      <w:rPr>
        <w:rFonts w:ascii="SimSun" w:hAnsi="SimSun" w:eastAsia="SimSun" w:cs="SimSun"/>
        <w:sz w:val="24"/>
        <w:szCs w:val="24"/>
        <w:strike/>
        <w:spacing w:val="-3"/>
      </w:rPr>
      <w:t>8</w:t>
    </w:r>
    <w:r>
      <w:rPr>
        <w:rFonts w:ascii="SimSun" w:hAnsi="SimSun" w:eastAsia="SimSun" w:cs="SimSun"/>
        <w:sz w:val="24"/>
        <w:szCs w:val="24"/>
        <w:spacing w:val="-3"/>
      </w:rPr>
      <w:t>—</w:t>
    </w:r>
    <w:r>
      <w:rPr>
        <w:rFonts w:ascii="SimSun" w:hAnsi="SimSun" w:eastAsia="SimSun" w:cs="SimSun"/>
        <w:sz w:val="24"/>
        <w:szCs w:val="24"/>
        <w:strike/>
      </w:rPr>
      <w:t xml:space="preserve">   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71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5"/>
      </w:rPr>
      <w:t>—</w:t>
    </w:r>
    <w:r>
      <w:rPr>
        <w:rFonts w:ascii="SimSun" w:hAnsi="SimSun" w:eastAsia="SimSun" w:cs="SimSun"/>
        <w:sz w:val="21"/>
        <w:szCs w:val="21"/>
        <w:spacing w:val="4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b/>
        <w:bCs/>
        <w:spacing w:val="-5"/>
      </w:rPr>
      <w:t>9</w:t>
    </w:r>
    <w:r>
      <w:rPr>
        <w:rFonts w:ascii="Times New Roman" w:hAnsi="Times New Roman" w:eastAsia="Times New Roman" w:cs="Times New Roman"/>
        <w:sz w:val="21"/>
        <w:szCs w:val="21"/>
        <w:b/>
        <w:bCs/>
        <w:spacing w:val="49"/>
      </w:rPr>
      <w:t xml:space="preserve"> </w:t>
    </w:r>
    <w:r>
      <w:rPr>
        <w:rFonts w:ascii="SimSun" w:hAnsi="SimSun" w:eastAsia="SimSun" w:cs="SimSun"/>
        <w:sz w:val="21"/>
        <w:szCs w:val="21"/>
        <w:spacing w:val="-5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2"/>
      </w:rPr>
      <w:t>—10—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9"/>
      <w:spacing w:line="233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-2"/>
      </w:rPr>
      <w:t>—11—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image" Target="media/image2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2026-05-04T20:22:25Z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2026-05-04T20:22:25</vt:filetime>
  </property>
  <property fmtid="{D5CDD505-2E9C-101B-9397-08002B2CF9AE}" pid="4" name="UsrData">
    <vt:lpwstr>69f88f7e43cd31001fdc6c2dwl</vt:lpwstr>
  </property>
</Properties>
</file>