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2楼走廊安全检查报告</w:t>
      </w:r>
    </w:p>
    <w:p>
      <w:pPr>
        <w:pStyle w:val="Heading2"/>
      </w:pPr>
      <w:r>
        <w:t>一、基本信息</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sz w:val="21"/>
              </w:rPr>
              <w:t>实验室</w:t>
            </w:r>
          </w:p>
        </w:tc>
        <w:tc>
          <w:tcPr>
            <w:tcW w:type="dxa" w:w="2160"/>
          </w:tcPr>
          <w:p>
            <w:r/>
            <w:r>
              <w:rPr>
                <w:rFonts w:ascii="微软雅黑" w:hAnsi="微软雅黑" w:eastAsia="微软雅黑"/>
                <w:sz w:val="21"/>
              </w:rPr>
              <w:t>2楼走廊</w:t>
            </w:r>
          </w:p>
        </w:tc>
        <w:tc>
          <w:tcPr>
            <w:tcW w:type="dxa" w:w="2160"/>
          </w:tcPr>
          <w:p>
            <w:r/>
            <w:r>
              <w:rPr>
                <w:rFonts w:ascii="微软雅黑" w:hAnsi="微软雅黑" w:eastAsia="微软雅黑"/>
                <w:sz w:val="21"/>
              </w:rPr>
              <w:t>检查人</w:t>
            </w:r>
          </w:p>
        </w:tc>
        <w:tc>
          <w:tcPr>
            <w:tcW w:type="dxa" w:w="2160"/>
          </w:tcPr>
          <w:p>
            <w:r/>
            <w:r>
              <w:rPr>
                <w:rFonts w:ascii="微软雅黑" w:hAnsi="微软雅黑" w:eastAsia="微软雅黑"/>
                <w:sz w:val="21"/>
              </w:rPr>
              <w:t>admin</w:t>
            </w:r>
          </w:p>
        </w:tc>
      </w:tr>
      <w:tr>
        <w:tc>
          <w:tcPr>
            <w:tcW w:type="dxa" w:w="2160"/>
          </w:tcPr>
          <w:p>
            <w:r/>
            <w:r>
              <w:rPr>
                <w:rFonts w:ascii="微软雅黑" w:hAnsi="微软雅黑" w:eastAsia="微软雅黑"/>
                <w:sz w:val="21"/>
              </w:rPr>
              <w:t>总体风险</w:t>
            </w:r>
          </w:p>
        </w:tc>
        <w:tc>
          <w:tcPr>
            <w:tcW w:type="dxa" w:w="2160"/>
          </w:tcPr>
          <w:p>
            <w:r/>
            <w:r>
              <w:rPr>
                <w:rFonts w:ascii="微软雅黑" w:hAnsi="微软雅黑" w:eastAsia="微软雅黑"/>
                <w:sz w:val="21"/>
              </w:rPr>
              <w:t>中</w:t>
            </w:r>
          </w:p>
        </w:tc>
        <w:tc>
          <w:tcPr>
            <w:tcW w:type="dxa" w:w="2160"/>
          </w:tcPr>
          <w:p>
            <w:r/>
            <w:r>
              <w:rPr>
                <w:rFonts w:ascii="微软雅黑" w:hAnsi="微软雅黑" w:eastAsia="微软雅黑"/>
                <w:sz w:val="21"/>
              </w:rPr>
              <w:t>生成时间</w:t>
            </w:r>
          </w:p>
        </w:tc>
        <w:tc>
          <w:tcPr>
            <w:tcW w:type="dxa" w:w="2160"/>
          </w:tcPr>
          <w:p>
            <w:r/>
            <w:r>
              <w:rPr>
                <w:rFonts w:ascii="微软雅黑" w:hAnsi="微软雅黑" w:eastAsia="微软雅黑"/>
                <w:sz w:val="21"/>
              </w:rPr>
              <w:t>2026-05-04 12:52</w:t>
            </w:r>
          </w:p>
        </w:tc>
      </w:tr>
      <w:tr>
        <w:tc>
          <w:tcPr>
            <w:tcW w:type="dxa" w:w="2160"/>
          </w:tcPr>
          <w:p>
            <w:r/>
            <w:r>
              <w:rPr>
                <w:rFonts w:ascii="微软雅黑" w:hAnsi="微软雅黑" w:eastAsia="微软雅黑"/>
                <w:sz w:val="21"/>
              </w:rPr>
              <w:t>创建人</w:t>
            </w:r>
          </w:p>
        </w:tc>
        <w:tc>
          <w:tcPr>
            <w:tcW w:type="dxa" w:w="2160"/>
          </w:tcPr>
          <w:p>
            <w:r/>
            <w:r>
              <w:rPr>
                <w:rFonts w:ascii="微软雅黑" w:hAnsi="微软雅黑" w:eastAsia="微软雅黑"/>
                <w:sz w:val="21"/>
              </w:rPr>
              <w:t>admin</w:t>
            </w:r>
          </w:p>
        </w:tc>
        <w:tc>
          <w:tcPr>
            <w:tcW w:type="dxa" w:w="2160"/>
          </w:tcPr>
          <w:p>
            <w:r/>
            <w:r>
              <w:rPr>
                <w:rFonts w:ascii="微软雅黑" w:hAnsi="微软雅黑" w:eastAsia="微软雅黑"/>
                <w:sz w:val="21"/>
              </w:rPr>
              <w:t>隐患图片数</w:t>
            </w:r>
          </w:p>
        </w:tc>
        <w:tc>
          <w:tcPr>
            <w:tcW w:type="dxa" w:w="2160"/>
          </w:tcPr>
          <w:p>
            <w:r/>
            <w:r>
              <w:rPr>
                <w:rFonts w:ascii="微软雅黑" w:hAnsi="微软雅黑" w:eastAsia="微软雅黑"/>
                <w:sz w:val="21"/>
              </w:rPr>
              <w:t>1</w:t>
            </w:r>
          </w:p>
        </w:tc>
      </w:tr>
    </w:tbl>
    <w:p>
      <w:pPr>
        <w:pStyle w:val="Heading2"/>
      </w:pPr>
      <w:r>
        <w:t>二、汇总统计</w:t>
      </w:r>
    </w:p>
    <w:p>
      <w:r>
        <w:rPr>
          <w:rFonts w:ascii="微软雅黑" w:hAnsi="微软雅黑" w:eastAsia="微软雅黑"/>
          <w:sz w:val="21"/>
        </w:rPr>
        <w:t>高:0  中:1  低:1  合计:2</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sz w:val="21"/>
              </w:rPr>
              <w:t>类别</w:t>
            </w:r>
          </w:p>
        </w:tc>
        <w:tc>
          <w:tcPr>
            <w:tcW w:type="dxa" w:w="4320"/>
          </w:tcPr>
          <w:p>
            <w:r/>
            <w:r>
              <w:rPr>
                <w:rFonts w:ascii="微软雅黑" w:hAnsi="微软雅黑" w:eastAsia="微软雅黑"/>
                <w:sz w:val="21"/>
              </w:rPr>
              <w:t>数量</w:t>
            </w:r>
          </w:p>
        </w:tc>
      </w:tr>
      <w:tr>
        <w:tc>
          <w:tcPr>
            <w:tcW w:type="dxa" w:w="4320"/>
          </w:tcPr>
          <w:p>
            <w:r/>
            <w:r>
              <w:rPr>
                <w:rFonts w:ascii="微软雅黑" w:hAnsi="微软雅黑" w:eastAsia="微软雅黑"/>
                <w:sz w:val="21"/>
              </w:rPr>
              <w:t>其他</w:t>
            </w:r>
          </w:p>
        </w:tc>
        <w:tc>
          <w:tcPr>
            <w:tcW w:type="dxa" w:w="4320"/>
          </w:tcPr>
          <w:p>
            <w:r/>
            <w:r>
              <w:rPr>
                <w:rFonts w:ascii="微软雅黑" w:hAnsi="微软雅黑" w:eastAsia="微软雅黑"/>
                <w:sz w:val="21"/>
              </w:rPr>
              <w:t>1</w:t>
            </w:r>
          </w:p>
        </w:tc>
      </w:tr>
      <w:tr>
        <w:tc>
          <w:tcPr>
            <w:tcW w:type="dxa" w:w="4320"/>
          </w:tcPr>
          <w:p>
            <w:r/>
            <w:r>
              <w:rPr>
                <w:rFonts w:ascii="微软雅黑" w:hAnsi="微软雅黑" w:eastAsia="微软雅黑"/>
                <w:sz w:val="21"/>
              </w:rPr>
              <w:t>通道</w:t>
            </w:r>
          </w:p>
        </w:tc>
        <w:tc>
          <w:tcPr>
            <w:tcW w:type="dxa" w:w="4320"/>
          </w:tcPr>
          <w:p>
            <w:r/>
            <w:r>
              <w:rPr>
                <w:rFonts w:ascii="微软雅黑" w:hAnsi="微软雅黑" w:eastAsia="微软雅黑"/>
                <w:sz w:val="21"/>
              </w:rPr>
              <w:t>1</w:t>
            </w:r>
          </w:p>
        </w:tc>
      </w:tr>
    </w:tbl>
    <w:p>
      <w:pPr>
        <w:pStyle w:val="Heading2"/>
      </w:pPr>
      <w:r>
        <w:t>三、隐患明细与图片快照</w:t>
      </w:r>
    </w:p>
    <w:p>
      <w:r>
        <w:rPr>
          <w:rFonts w:ascii="微软雅黑" w:hAnsi="微软雅黑" w:eastAsia="微软雅黑"/>
          <w:sz w:val="21"/>
        </w:rPr>
        <w:t>1. 2楼走廊(2026-05-04 12:43)</w:t>
      </w:r>
    </w:p>
    <w:p>
      <w:r>
        <w:drawing>
          <wp:inline xmlns:a="http://schemas.openxmlformats.org/drawingml/2006/main" xmlns:pic="http://schemas.openxmlformats.org/drawingml/2006/picture">
            <wp:extent cx="5400000" cy="7051500"/>
            <wp:docPr id="1" name="Picture 1"/>
            <wp:cNvGraphicFramePr>
              <a:graphicFrameLocks noChangeAspect="1"/>
            </wp:cNvGraphicFramePr>
            <a:graphic>
              <a:graphicData uri="http://schemas.openxmlformats.org/drawingml/2006/picture">
                <pic:pic>
                  <pic:nvPicPr>
                    <pic:cNvPr id="0" name="31.jpg"/>
                    <pic:cNvPicPr/>
                  </pic:nvPicPr>
                  <pic:blipFill>
                    <a:blip r:embed="rId9"/>
                    <a:stretch>
                      <a:fillRect/>
                    </a:stretch>
                  </pic:blipFill>
                  <pic:spPr>
                    <a:xfrm>
                      <a:off x="0" y="0"/>
                      <a:ext cx="5400000" cy="7051500"/>
                    </a:xfrm>
                    <a:prstGeom prst="rect"/>
                  </pic:spPr>
                </pic:pic>
              </a:graphicData>
            </a:graphic>
          </wp:inline>
        </w:drawing>
      </w:r>
    </w:p>
    <w:p>
      <w:r>
        <w:rPr>
          <w:rFonts w:ascii="微软雅黑" w:hAnsi="微软雅黑" w:eastAsia="微软雅黑"/>
          <w:sz w:val="21"/>
        </w:rPr>
        <w:t>整体评估:图片显示消防设施箱内部，存在设备老化和杂物堆积的安全隐患。</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微软雅黑" w:hAnsi="微软雅黑" w:eastAsia="微软雅黑"/>
                <w:sz w:val="21"/>
              </w:rPr>
              <w:t>#</w:t>
            </w:r>
          </w:p>
        </w:tc>
        <w:tc>
          <w:tcPr>
            <w:tcW w:type="dxa" w:w="1440"/>
          </w:tcPr>
          <w:p>
            <w:r/>
            <w:r>
              <w:rPr>
                <w:rFonts w:ascii="微软雅黑" w:hAnsi="微软雅黑" w:eastAsia="微软雅黑"/>
                <w:sz w:val="21"/>
              </w:rPr>
              <w:t>隐患</w:t>
            </w:r>
          </w:p>
        </w:tc>
        <w:tc>
          <w:tcPr>
            <w:tcW w:type="dxa" w:w="1440"/>
          </w:tcPr>
          <w:p>
            <w:r/>
            <w:r>
              <w:rPr>
                <w:rFonts w:ascii="微软雅黑" w:hAnsi="微软雅黑" w:eastAsia="微软雅黑"/>
                <w:sz w:val="21"/>
              </w:rPr>
              <w:t>类别</w:t>
            </w:r>
          </w:p>
        </w:tc>
        <w:tc>
          <w:tcPr>
            <w:tcW w:type="dxa" w:w="1440"/>
          </w:tcPr>
          <w:p>
            <w:r/>
            <w:r>
              <w:rPr>
                <w:rFonts w:ascii="微软雅黑" w:hAnsi="微软雅黑" w:eastAsia="微软雅黑"/>
                <w:sz w:val="21"/>
              </w:rPr>
              <w:t>风险</w:t>
            </w:r>
          </w:p>
        </w:tc>
        <w:tc>
          <w:tcPr>
            <w:tcW w:type="dxa" w:w="1440"/>
          </w:tcPr>
          <w:p>
            <w:r/>
            <w:r>
              <w:rPr>
                <w:rFonts w:ascii="微软雅黑" w:hAnsi="微软雅黑" w:eastAsia="微软雅黑"/>
                <w:sz w:val="21"/>
              </w:rPr>
              <w:t>描述</w:t>
            </w:r>
          </w:p>
        </w:tc>
        <w:tc>
          <w:tcPr>
            <w:tcW w:type="dxa" w:w="1440"/>
          </w:tcPr>
          <w:p>
            <w:r/>
            <w:r>
              <w:rPr>
                <w:rFonts w:ascii="微软雅黑" w:hAnsi="微软雅黑" w:eastAsia="微软雅黑"/>
                <w:sz w:val="21"/>
              </w:rPr>
              <w:t>建议</w:t>
            </w:r>
          </w:p>
        </w:tc>
      </w:tr>
      <w:tr>
        <w:tc>
          <w:tcPr>
            <w:tcW w:type="dxa" w:w="1440"/>
          </w:tcPr>
          <w:p>
            <w:r/>
            <w:r>
              <w:rPr>
                <w:rFonts w:ascii="微软雅黑" w:hAnsi="微软雅黑" w:eastAsia="微软雅黑"/>
                <w:sz w:val="18"/>
              </w:rPr>
              <w:t>1</w:t>
            </w:r>
          </w:p>
        </w:tc>
        <w:tc>
          <w:tcPr>
            <w:tcW w:type="dxa" w:w="1440"/>
          </w:tcPr>
          <w:p>
            <w:r/>
            <w:r>
              <w:rPr>
                <w:rFonts w:ascii="微软雅黑" w:hAnsi="微软雅黑" w:eastAsia="微软雅黑"/>
                <w:sz w:val="18"/>
              </w:rPr>
              <w:t>阀门锈蚀</w:t>
            </w:r>
          </w:p>
        </w:tc>
        <w:tc>
          <w:tcPr>
            <w:tcW w:type="dxa" w:w="1440"/>
          </w:tcPr>
          <w:p>
            <w:r/>
            <w:r>
              <w:rPr>
                <w:rFonts w:ascii="微软雅黑" w:hAnsi="微软雅黑" w:eastAsia="微软雅黑"/>
                <w:sz w:val="18"/>
              </w:rPr>
              <w:t>其他</w:t>
            </w:r>
          </w:p>
        </w:tc>
        <w:tc>
          <w:tcPr>
            <w:tcW w:type="dxa" w:w="1440"/>
          </w:tcPr>
          <w:p>
            <w:r/>
            <w:r>
              <w:rPr>
                <w:rFonts w:ascii="微软雅黑" w:hAnsi="微软雅黑" w:eastAsia="微软雅黑"/>
                <w:sz w:val="18"/>
              </w:rPr>
              <w:t>中</w:t>
            </w:r>
          </w:p>
        </w:tc>
        <w:tc>
          <w:tcPr>
            <w:tcW w:type="dxa" w:w="1440"/>
          </w:tcPr>
          <w:p>
            <w:r/>
            <w:r>
              <w:rPr>
                <w:rFonts w:ascii="微软雅黑" w:hAnsi="微软雅黑" w:eastAsia="微软雅黑"/>
                <w:sz w:val="18"/>
              </w:rPr>
              <w:t>右侧消防栓阀门表面有明显锈蚀和污垢，可能影响其正常开启和使用，存在应急时失效的风险。</w:t>
            </w:r>
          </w:p>
        </w:tc>
        <w:tc>
          <w:tcPr>
            <w:tcW w:type="dxa" w:w="1440"/>
          </w:tcPr>
          <w:p>
            <w:r/>
            <w:r>
              <w:rPr>
                <w:rFonts w:ascii="微软雅黑" w:hAnsi="微软雅黑" w:eastAsia="微软雅黑"/>
                <w:sz w:val="18"/>
              </w:rPr>
              <w:t>立即清洁并检查阀门密封性，必要时更换新阀门，确保设备处于良好工作状态。</w:t>
            </w:r>
          </w:p>
        </w:tc>
      </w:tr>
      <w:tr>
        <w:tc>
          <w:tcPr>
            <w:tcW w:type="dxa" w:w="1440"/>
          </w:tcPr>
          <w:p>
            <w:r/>
            <w:r>
              <w:rPr>
                <w:rFonts w:ascii="微软雅黑" w:hAnsi="微软雅黑" w:eastAsia="微软雅黑"/>
                <w:sz w:val="18"/>
              </w:rPr>
              <w:t>2</w:t>
            </w:r>
          </w:p>
        </w:tc>
        <w:tc>
          <w:tcPr>
            <w:tcW w:type="dxa" w:w="1440"/>
          </w:tcPr>
          <w:p>
            <w:r/>
            <w:r>
              <w:rPr>
                <w:rFonts w:ascii="微软雅黑" w:hAnsi="微软雅黑" w:eastAsia="微软雅黑"/>
                <w:sz w:val="18"/>
              </w:rPr>
              <w:t>杂物堆积</w:t>
            </w:r>
          </w:p>
        </w:tc>
        <w:tc>
          <w:tcPr>
            <w:tcW w:type="dxa" w:w="1440"/>
          </w:tcPr>
          <w:p>
            <w:r/>
            <w:r>
              <w:rPr>
                <w:rFonts w:ascii="微软雅黑" w:hAnsi="微软雅黑" w:eastAsia="微软雅黑"/>
                <w:sz w:val="18"/>
              </w:rPr>
              <w:t>通道</w:t>
            </w:r>
          </w:p>
        </w:tc>
        <w:tc>
          <w:tcPr>
            <w:tcW w:type="dxa" w:w="1440"/>
          </w:tcPr>
          <w:p>
            <w:r/>
            <w:r>
              <w:rPr>
                <w:rFonts w:ascii="微软雅黑" w:hAnsi="微软雅黑" w:eastAsia="微软雅黑"/>
                <w:sz w:val="18"/>
              </w:rPr>
              <w:t>低</w:t>
            </w:r>
          </w:p>
        </w:tc>
        <w:tc>
          <w:tcPr>
            <w:tcW w:type="dxa" w:w="1440"/>
          </w:tcPr>
          <w:p>
            <w:r/>
            <w:r>
              <w:rPr>
                <w:rFonts w:ascii="微软雅黑" w:hAnsi="微软雅黑" w:eastAsia="微软雅黑"/>
                <w:sz w:val="18"/>
              </w:rPr>
              <w:t>箱体内底部有油漆等杂物堆积，可能在紧急情况下阻碍操作或造成二次污染。</w:t>
            </w:r>
          </w:p>
        </w:tc>
        <w:tc>
          <w:tcPr>
            <w:tcW w:type="dxa" w:w="1440"/>
          </w:tcPr>
          <w:p>
            <w:r/>
            <w:r>
              <w:rPr>
                <w:rFonts w:ascii="微软雅黑" w:hAnsi="微软雅黑" w:eastAsia="微软雅黑"/>
                <w:sz w:val="18"/>
              </w:rPr>
              <w:t>清理箱体内部杂物，保持通道畅通，并定期维护以防止类似情况发生。</w:t>
            </w:r>
          </w:p>
        </w:tc>
      </w:tr>
    </w:tbl>
    <w:p>
      <w:pPr>
        <w:pStyle w:val="Heading2"/>
      </w:pPr>
      <w:r>
        <w:t>四、参考依据</w:t>
      </w:r>
    </w:p>
    <w:p>
      <w:r>
        <w:rPr>
          <w:rFonts w:ascii="微软雅黑" w:hAnsi="微软雅黑" w:eastAsia="微软雅黑"/>
          <w:sz w:val="21"/>
        </w:rPr>
        <w:t>• JYT0616—2023《高等学校实验室消防安全管理规范》.docx: 学校消防主管部门和实验室安全主管部门协同拟订实验室消防安全规划、年度安全计划、年度经费预算等。</w:t>
        <w:br/>
        <w:t>5.5.3  学校消防主管部门指导督促实验室消防基础设施设备的更换、维护、保养和检测；组织开展学校实验室消防安全检查，监督隐患整改。</w:t>
        <w:br/>
        <w:t>5.5.4  学校实验室安全主管部门负责学校各级各类实验室消防安全的日常监督和管理，建立</w:t>
      </w:r>
    </w:p>
    <w:p>
      <w:pPr>
        <w:pStyle w:val="Heading2"/>
      </w:pPr>
      <w:r>
        <w:t>五、AI 评价与整改建议</w:t>
      </w:r>
    </w:p>
    <w:p>
      <w:r>
        <w:rPr>
          <w:rFonts w:ascii="微软雅黑" w:hAnsi="微软雅黑" w:eastAsia="微软雅黑"/>
          <w:b/>
          <w:sz w:val="24"/>
        </w:rPr>
        <w:t>实验室消防安全检查总结评价</w:t>
      </w:r>
    </w:p>
    <w:p>
      <w:r>
        <w:rPr>
          <w:rFonts w:ascii="微软雅黑" w:hAnsi="微软雅黑" w:eastAsia="微软雅黑"/>
          <w:sz w:val="21"/>
        </w:rPr>
        <w:t>本次对2楼走廊的消防安全检查结果显示，整体安全风险等级为中等（medium），存在一定的安全隐患，需引起重视并及时整改。检查共发现两项隐患，其中一项为中等风险（medium），另一项为低风险（low），分别涉及阀门锈蚀和杂物堆积问题。</w:t>
      </w:r>
    </w:p>
    <w:p>
      <w:r>
        <w:rPr>
          <w:rFonts w:ascii="微软雅黑" w:hAnsi="微软雅黑" w:eastAsia="微软雅黑"/>
          <w:b/>
          <w:sz w:val="24"/>
        </w:rPr>
        <w:t>主要风险点：</w:t>
      </w:r>
    </w:p>
    <w:p>
      <w:pPr>
        <w:pStyle w:val="ListNumber"/>
      </w:pPr>
      <w:r>
        <w:rPr>
          <w:rFonts w:ascii="微软雅黑" w:hAnsi="微软雅黑" w:eastAsia="微软雅黑"/>
          <w:b/>
          <w:sz w:val="21"/>
        </w:rPr>
        <w:t>阀门锈蚀</w:t>
      </w:r>
      <w:r>
        <w:rPr>
          <w:rFonts w:ascii="微软雅黑" w:hAnsi="微软雅黑" w:eastAsia="微软雅黑"/>
          <w:sz w:val="21"/>
        </w:rPr>
        <w:t>：该隐患属于中等风险，可能影响消防设施的正常运行，尤其是在紧急情况下，锈蚀可能导致阀门无法有效开启，延误灭火时机。</w:t>
      </w:r>
    </w:p>
    <w:p>
      <w:pPr>
        <w:pStyle w:val="ListNumber"/>
      </w:pPr>
      <w:r>
        <w:rPr>
          <w:rFonts w:ascii="微软雅黑" w:hAnsi="微软雅黑" w:eastAsia="微软雅黑"/>
          <w:b/>
          <w:sz w:val="21"/>
        </w:rPr>
        <w:t>杂物堆积</w:t>
      </w:r>
      <w:r>
        <w:rPr>
          <w:rFonts w:ascii="微软雅黑" w:hAnsi="微软雅黑" w:eastAsia="微软雅黑"/>
          <w:sz w:val="21"/>
        </w:rPr>
        <w:t>：该隐患属于低风险，但长期存在可能阻碍疏散通道的畅通，增加火灾发生时人员逃生的难度，并可能成为火势蔓延的助燃物。</w:t>
      </w:r>
    </w:p>
    <w:p>
      <w:r>
        <w:rPr>
          <w:rFonts w:ascii="微软雅黑" w:hAnsi="微软雅黑" w:eastAsia="微软雅黑"/>
          <w:b/>
          <w:sz w:val="24"/>
        </w:rPr>
        <w:t>整改优先级建议：</w:t>
      </w:r>
    </w:p>
    <w:p>
      <w:pPr>
        <w:pStyle w:val="ListNumber"/>
      </w:pPr>
      <w:r>
        <w:rPr>
          <w:rFonts w:ascii="微软雅黑" w:hAnsi="微软雅黑" w:eastAsia="微软雅黑"/>
          <w:b/>
          <w:sz w:val="21"/>
        </w:rPr>
        <w:t>优先处理阀门锈蚀问题</w:t>
      </w:r>
      <w:r>
        <w:rPr>
          <w:rFonts w:ascii="微软雅黑" w:hAnsi="微软雅黑" w:eastAsia="微软雅黑"/>
          <w:sz w:val="21"/>
        </w:rPr>
        <w:t>：鉴于其潜在的严重后果，建议立即联系专业维修人员对锈蚀阀门进行清理、润滑或更换，确保消防设施处于良好状态。</w:t>
      </w:r>
    </w:p>
    <w:p>
      <w:pPr>
        <w:pStyle w:val="ListNumber"/>
      </w:pPr>
      <w:r>
        <w:rPr>
          <w:rFonts w:ascii="微软雅黑" w:hAnsi="微软雅黑" w:eastAsia="微软雅黑"/>
          <w:b/>
          <w:sz w:val="21"/>
        </w:rPr>
        <w:t>清理杂物堆积区域</w:t>
      </w:r>
      <w:r>
        <w:rPr>
          <w:rFonts w:ascii="微软雅黑" w:hAnsi="微软雅黑" w:eastAsia="微软雅黑"/>
          <w:sz w:val="21"/>
        </w:rPr>
        <w:t>：在完成阀门维修后，应尽快清理走廊内的杂物，恢复通道的畅通性，并加强日常管理，避免类似问题再次发生。</w:t>
      </w:r>
    </w:p>
    <w:p>
      <w:r>
        <w:rPr>
          <w:rFonts w:ascii="微软雅黑" w:hAnsi="微软雅黑" w:eastAsia="微软雅黑"/>
          <w:b/>
          <w:sz w:val="24"/>
        </w:rPr>
        <w:t>后续复查建议：</w:t>
      </w:r>
    </w:p>
    <w:p>
      <w:pPr>
        <w:pStyle w:val="ListNumber"/>
      </w:pPr>
      <w:r>
        <w:rPr>
          <w:rFonts w:ascii="微软雅黑" w:hAnsi="微软雅黑" w:eastAsia="微软雅黑"/>
          <w:sz w:val="21"/>
        </w:rPr>
        <w:t>建议在整改完成后的一周内进行复查，重点检查阀门是否恢复正常功能以及杂物是否彻底清理。</w:t>
      </w:r>
    </w:p>
    <w:p>
      <w:pPr>
        <w:pStyle w:val="ListNumber"/>
      </w:pPr>
      <w:r>
        <w:rPr>
          <w:rFonts w:ascii="微软雅黑" w:hAnsi="微软雅黑" w:eastAsia="微软雅黑"/>
          <w:sz w:val="21"/>
        </w:rPr>
        <w:t>定期开展消防安全培训和演练，提高实验室人员的安全意识和应急处置能力。</w:t>
      </w:r>
    </w:p>
    <w:p>
      <w:pPr>
        <w:pStyle w:val="ListNumber"/>
      </w:pPr>
      <w:r>
        <w:rPr>
          <w:rFonts w:ascii="微软雅黑" w:hAnsi="微软雅黑" w:eastAsia="微软雅黑"/>
          <w:sz w:val="21"/>
        </w:rPr>
        <w:t>建立长效巡查机制，每月对走廊及其他关键区域进行例行检查，确保消防设施完好无损，通道畅通无阻。</w:t>
      </w:r>
    </w:p>
    <w:p>
      <w:r>
        <w:rPr>
          <w:rFonts w:ascii="微软雅黑" w:hAnsi="微软雅黑" w:eastAsia="微软雅黑"/>
          <w:sz w:val="21"/>
        </w:rPr>
        <w:t>通过以上措施，可有效降低实验室的消防安全风险，保障人员和财产安全。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