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微软雅黑" w:hAnsi="微软雅黑" w:eastAsia="微软雅黑"/>
          <w:b/>
          <w:sz w:val="40"/>
        </w:rPr>
        <w:t>2楼走廊安全检查报告</w:t>
      </w:r>
    </w:p>
    <w:p>
      <w:pPr>
        <w:pStyle w:val="Heading2"/>
      </w:pPr>
      <w:r>
        <w:t>一、基本信息</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rFonts w:ascii="微软雅黑" w:hAnsi="微软雅黑" w:eastAsia="微软雅黑"/>
                <w:sz w:val="21"/>
              </w:rPr>
              <w:t>实验室</w:t>
            </w:r>
          </w:p>
        </w:tc>
        <w:tc>
          <w:tcPr>
            <w:tcW w:type="dxa" w:w="2160"/>
          </w:tcPr>
          <w:p>
            <w:r/>
            <w:r>
              <w:rPr>
                <w:rFonts w:ascii="微软雅黑" w:hAnsi="微软雅黑" w:eastAsia="微软雅黑"/>
                <w:sz w:val="21"/>
              </w:rPr>
              <w:t>2楼走廊</w:t>
            </w:r>
          </w:p>
        </w:tc>
        <w:tc>
          <w:tcPr>
            <w:tcW w:type="dxa" w:w="2160"/>
          </w:tcPr>
          <w:p>
            <w:r/>
            <w:r>
              <w:rPr>
                <w:rFonts w:ascii="微软雅黑" w:hAnsi="微软雅黑" w:eastAsia="微软雅黑"/>
                <w:sz w:val="21"/>
              </w:rPr>
              <w:t>检查人</w:t>
            </w:r>
          </w:p>
        </w:tc>
        <w:tc>
          <w:tcPr>
            <w:tcW w:type="dxa" w:w="2160"/>
          </w:tcPr>
          <w:p>
            <w:r/>
            <w:r>
              <w:rPr>
                <w:rFonts w:ascii="微软雅黑" w:hAnsi="微软雅黑" w:eastAsia="微软雅黑"/>
                <w:sz w:val="21"/>
              </w:rPr>
              <w:t>admin</w:t>
            </w:r>
          </w:p>
        </w:tc>
      </w:tr>
      <w:tr>
        <w:tc>
          <w:tcPr>
            <w:tcW w:type="dxa" w:w="2160"/>
          </w:tcPr>
          <w:p>
            <w:r/>
            <w:r>
              <w:rPr>
                <w:rFonts w:ascii="微软雅黑" w:hAnsi="微软雅黑" w:eastAsia="微软雅黑"/>
                <w:sz w:val="21"/>
              </w:rPr>
              <w:t>总体风险</w:t>
            </w:r>
          </w:p>
        </w:tc>
        <w:tc>
          <w:tcPr>
            <w:tcW w:type="dxa" w:w="2160"/>
          </w:tcPr>
          <w:p>
            <w:r/>
            <w:r>
              <w:rPr>
                <w:rFonts w:ascii="微软雅黑" w:hAnsi="微软雅黑" w:eastAsia="微软雅黑"/>
                <w:sz w:val="21"/>
              </w:rPr>
              <w:t>中</w:t>
            </w:r>
          </w:p>
        </w:tc>
        <w:tc>
          <w:tcPr>
            <w:tcW w:type="dxa" w:w="2160"/>
          </w:tcPr>
          <w:p>
            <w:r/>
            <w:r>
              <w:rPr>
                <w:rFonts w:ascii="微软雅黑" w:hAnsi="微软雅黑" w:eastAsia="微软雅黑"/>
                <w:sz w:val="21"/>
              </w:rPr>
              <w:t>生成时间</w:t>
            </w:r>
          </w:p>
        </w:tc>
        <w:tc>
          <w:tcPr>
            <w:tcW w:type="dxa" w:w="2160"/>
          </w:tcPr>
          <w:p>
            <w:r/>
            <w:r>
              <w:rPr>
                <w:rFonts w:ascii="微软雅黑" w:hAnsi="微软雅黑" w:eastAsia="微软雅黑"/>
                <w:sz w:val="21"/>
              </w:rPr>
              <w:t>2026-05-04 12:50</w:t>
            </w:r>
          </w:p>
        </w:tc>
      </w:tr>
      <w:tr>
        <w:tc>
          <w:tcPr>
            <w:tcW w:type="dxa" w:w="2160"/>
          </w:tcPr>
          <w:p>
            <w:r/>
            <w:r>
              <w:rPr>
                <w:rFonts w:ascii="微软雅黑" w:hAnsi="微软雅黑" w:eastAsia="微软雅黑"/>
                <w:sz w:val="21"/>
              </w:rPr>
              <w:t>创建人</w:t>
            </w:r>
          </w:p>
        </w:tc>
        <w:tc>
          <w:tcPr>
            <w:tcW w:type="dxa" w:w="2160"/>
          </w:tcPr>
          <w:p>
            <w:r/>
            <w:r>
              <w:rPr>
                <w:rFonts w:ascii="微软雅黑" w:hAnsi="微软雅黑" w:eastAsia="微软雅黑"/>
                <w:sz w:val="21"/>
              </w:rPr>
              <w:t>admin</w:t>
            </w:r>
          </w:p>
        </w:tc>
        <w:tc>
          <w:tcPr>
            <w:tcW w:type="dxa" w:w="2160"/>
          </w:tcPr>
          <w:p>
            <w:r/>
            <w:r>
              <w:rPr>
                <w:rFonts w:ascii="微软雅黑" w:hAnsi="微软雅黑" w:eastAsia="微软雅黑"/>
                <w:sz w:val="21"/>
              </w:rPr>
              <w:t>隐患图片数</w:t>
            </w:r>
          </w:p>
        </w:tc>
        <w:tc>
          <w:tcPr>
            <w:tcW w:type="dxa" w:w="2160"/>
          </w:tcPr>
          <w:p>
            <w:r/>
            <w:r>
              <w:rPr>
                <w:rFonts w:ascii="微软雅黑" w:hAnsi="微软雅黑" w:eastAsia="微软雅黑"/>
                <w:sz w:val="21"/>
              </w:rPr>
              <w:t>1</w:t>
            </w:r>
          </w:p>
        </w:tc>
      </w:tr>
    </w:tbl>
    <w:p>
      <w:pPr>
        <w:pStyle w:val="Heading2"/>
      </w:pPr>
      <w:r>
        <w:t>二、汇总统计</w:t>
      </w:r>
    </w:p>
    <w:p>
      <w:r>
        <w:rPr>
          <w:rFonts w:ascii="微软雅黑" w:hAnsi="微软雅黑" w:eastAsia="微软雅黑"/>
          <w:sz w:val="21"/>
        </w:rPr>
        <w:t>高:0  中:1  低:1  合计:2</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微软雅黑" w:hAnsi="微软雅黑" w:eastAsia="微软雅黑"/>
                <w:sz w:val="21"/>
              </w:rPr>
              <w:t>类别</w:t>
            </w:r>
          </w:p>
        </w:tc>
        <w:tc>
          <w:tcPr>
            <w:tcW w:type="dxa" w:w="4320"/>
          </w:tcPr>
          <w:p>
            <w:r/>
            <w:r>
              <w:rPr>
                <w:rFonts w:ascii="微软雅黑" w:hAnsi="微软雅黑" w:eastAsia="微软雅黑"/>
                <w:sz w:val="21"/>
              </w:rPr>
              <w:t>数量</w:t>
            </w:r>
          </w:p>
        </w:tc>
      </w:tr>
      <w:tr>
        <w:tc>
          <w:tcPr>
            <w:tcW w:type="dxa" w:w="4320"/>
          </w:tcPr>
          <w:p>
            <w:r/>
            <w:r>
              <w:rPr>
                <w:rFonts w:ascii="微软雅黑" w:hAnsi="微软雅黑" w:eastAsia="微软雅黑"/>
                <w:sz w:val="21"/>
              </w:rPr>
              <w:t>其他</w:t>
            </w:r>
          </w:p>
        </w:tc>
        <w:tc>
          <w:tcPr>
            <w:tcW w:type="dxa" w:w="4320"/>
          </w:tcPr>
          <w:p>
            <w:r/>
            <w:r>
              <w:rPr>
                <w:rFonts w:ascii="微软雅黑" w:hAnsi="微软雅黑" w:eastAsia="微软雅黑"/>
                <w:sz w:val="21"/>
              </w:rPr>
              <w:t>1</w:t>
            </w:r>
          </w:p>
        </w:tc>
      </w:tr>
      <w:tr>
        <w:tc>
          <w:tcPr>
            <w:tcW w:type="dxa" w:w="4320"/>
          </w:tcPr>
          <w:p>
            <w:r/>
            <w:r>
              <w:rPr>
                <w:rFonts w:ascii="微软雅黑" w:hAnsi="微软雅黑" w:eastAsia="微软雅黑"/>
                <w:sz w:val="21"/>
              </w:rPr>
              <w:t>通道</w:t>
            </w:r>
          </w:p>
        </w:tc>
        <w:tc>
          <w:tcPr>
            <w:tcW w:type="dxa" w:w="4320"/>
          </w:tcPr>
          <w:p>
            <w:r/>
            <w:r>
              <w:rPr>
                <w:rFonts w:ascii="微软雅黑" w:hAnsi="微软雅黑" w:eastAsia="微软雅黑"/>
                <w:sz w:val="21"/>
              </w:rPr>
              <w:t>1</w:t>
            </w:r>
          </w:p>
        </w:tc>
      </w:tr>
    </w:tbl>
    <w:p>
      <w:pPr>
        <w:pStyle w:val="Heading2"/>
      </w:pPr>
      <w:r>
        <w:t>三、隐患明细与图片快照</w:t>
      </w:r>
    </w:p>
    <w:p>
      <w:r>
        <w:rPr>
          <w:rFonts w:ascii="微软雅黑" w:hAnsi="微软雅黑" w:eastAsia="微软雅黑"/>
          <w:sz w:val="21"/>
        </w:rPr>
        <w:t>1. 2楼走廊(2026-05-04 12:43)</w:t>
      </w:r>
    </w:p>
    <w:p>
      <w:r>
        <w:drawing>
          <wp:inline xmlns:a="http://schemas.openxmlformats.org/drawingml/2006/main" xmlns:pic="http://schemas.openxmlformats.org/drawingml/2006/picture">
            <wp:extent cx="5400000" cy="7051500"/>
            <wp:docPr id="1" name="Picture 1"/>
            <wp:cNvGraphicFramePr>
              <a:graphicFrameLocks noChangeAspect="1"/>
            </wp:cNvGraphicFramePr>
            <a:graphic>
              <a:graphicData uri="http://schemas.openxmlformats.org/drawingml/2006/picture">
                <pic:pic>
                  <pic:nvPicPr>
                    <pic:cNvPr id="0" name="31.jpg"/>
                    <pic:cNvPicPr/>
                  </pic:nvPicPr>
                  <pic:blipFill>
                    <a:blip r:embed="rId9"/>
                    <a:stretch>
                      <a:fillRect/>
                    </a:stretch>
                  </pic:blipFill>
                  <pic:spPr>
                    <a:xfrm>
                      <a:off x="0" y="0"/>
                      <a:ext cx="5400000" cy="7051500"/>
                    </a:xfrm>
                    <a:prstGeom prst="rect"/>
                  </pic:spPr>
                </pic:pic>
              </a:graphicData>
            </a:graphic>
          </wp:inline>
        </w:drawing>
      </w:r>
    </w:p>
    <w:p>
      <w:r>
        <w:rPr>
          <w:rFonts w:ascii="微软雅黑" w:hAnsi="微软雅黑" w:eastAsia="微软雅黑"/>
          <w:sz w:val="21"/>
        </w:rPr>
        <w:t>整体评估:图片显示消防设施箱内部，存在设备老化和杂物堆积的安全隐患。</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微软雅黑" w:hAnsi="微软雅黑" w:eastAsia="微软雅黑"/>
                <w:sz w:val="21"/>
              </w:rPr>
              <w:t>#</w:t>
            </w:r>
          </w:p>
        </w:tc>
        <w:tc>
          <w:tcPr>
            <w:tcW w:type="dxa" w:w="1440"/>
          </w:tcPr>
          <w:p>
            <w:r/>
            <w:r>
              <w:rPr>
                <w:rFonts w:ascii="微软雅黑" w:hAnsi="微软雅黑" w:eastAsia="微软雅黑"/>
                <w:sz w:val="21"/>
              </w:rPr>
              <w:t>隐患</w:t>
            </w:r>
          </w:p>
        </w:tc>
        <w:tc>
          <w:tcPr>
            <w:tcW w:type="dxa" w:w="1440"/>
          </w:tcPr>
          <w:p>
            <w:r/>
            <w:r>
              <w:rPr>
                <w:rFonts w:ascii="微软雅黑" w:hAnsi="微软雅黑" w:eastAsia="微软雅黑"/>
                <w:sz w:val="21"/>
              </w:rPr>
              <w:t>类别</w:t>
            </w:r>
          </w:p>
        </w:tc>
        <w:tc>
          <w:tcPr>
            <w:tcW w:type="dxa" w:w="1440"/>
          </w:tcPr>
          <w:p>
            <w:r/>
            <w:r>
              <w:rPr>
                <w:rFonts w:ascii="微软雅黑" w:hAnsi="微软雅黑" w:eastAsia="微软雅黑"/>
                <w:sz w:val="21"/>
              </w:rPr>
              <w:t>风险</w:t>
            </w:r>
          </w:p>
        </w:tc>
        <w:tc>
          <w:tcPr>
            <w:tcW w:type="dxa" w:w="1440"/>
          </w:tcPr>
          <w:p>
            <w:r/>
            <w:r>
              <w:rPr>
                <w:rFonts w:ascii="微软雅黑" w:hAnsi="微软雅黑" w:eastAsia="微软雅黑"/>
                <w:sz w:val="21"/>
              </w:rPr>
              <w:t>描述</w:t>
            </w:r>
          </w:p>
        </w:tc>
        <w:tc>
          <w:tcPr>
            <w:tcW w:type="dxa" w:w="1440"/>
          </w:tcPr>
          <w:p>
            <w:r/>
            <w:r>
              <w:rPr>
                <w:rFonts w:ascii="微软雅黑" w:hAnsi="微软雅黑" w:eastAsia="微软雅黑"/>
                <w:sz w:val="21"/>
              </w:rPr>
              <w:t>建议</w:t>
            </w:r>
          </w:p>
        </w:tc>
      </w:tr>
      <w:tr>
        <w:tc>
          <w:tcPr>
            <w:tcW w:type="dxa" w:w="1440"/>
          </w:tcPr>
          <w:p>
            <w:r/>
            <w:r>
              <w:rPr>
                <w:rFonts w:ascii="微软雅黑" w:hAnsi="微软雅黑" w:eastAsia="微软雅黑"/>
                <w:sz w:val="18"/>
              </w:rPr>
              <w:t>1</w:t>
            </w:r>
          </w:p>
        </w:tc>
        <w:tc>
          <w:tcPr>
            <w:tcW w:type="dxa" w:w="1440"/>
          </w:tcPr>
          <w:p>
            <w:r/>
            <w:r>
              <w:rPr>
                <w:rFonts w:ascii="微软雅黑" w:hAnsi="微软雅黑" w:eastAsia="微软雅黑"/>
                <w:sz w:val="18"/>
              </w:rPr>
              <w:t>阀门锈蚀</w:t>
            </w:r>
          </w:p>
        </w:tc>
        <w:tc>
          <w:tcPr>
            <w:tcW w:type="dxa" w:w="1440"/>
          </w:tcPr>
          <w:p>
            <w:r/>
            <w:r>
              <w:rPr>
                <w:rFonts w:ascii="微软雅黑" w:hAnsi="微软雅黑" w:eastAsia="微软雅黑"/>
                <w:sz w:val="18"/>
              </w:rPr>
              <w:t>其他</w:t>
            </w:r>
          </w:p>
        </w:tc>
        <w:tc>
          <w:tcPr>
            <w:tcW w:type="dxa" w:w="1440"/>
          </w:tcPr>
          <w:p>
            <w:r/>
            <w:r>
              <w:rPr>
                <w:rFonts w:ascii="微软雅黑" w:hAnsi="微软雅黑" w:eastAsia="微软雅黑"/>
                <w:sz w:val="18"/>
              </w:rPr>
              <w:t>中</w:t>
            </w:r>
          </w:p>
        </w:tc>
        <w:tc>
          <w:tcPr>
            <w:tcW w:type="dxa" w:w="1440"/>
          </w:tcPr>
          <w:p>
            <w:r/>
            <w:r>
              <w:rPr>
                <w:rFonts w:ascii="微软雅黑" w:hAnsi="微软雅黑" w:eastAsia="微软雅黑"/>
                <w:sz w:val="18"/>
              </w:rPr>
              <w:t>右侧消防栓阀门表面有明显锈蚀和污垢，可能影响其正常开启和使用，存在应急时失效的风险。</w:t>
            </w:r>
          </w:p>
        </w:tc>
        <w:tc>
          <w:tcPr>
            <w:tcW w:type="dxa" w:w="1440"/>
          </w:tcPr>
          <w:p>
            <w:r/>
            <w:r>
              <w:rPr>
                <w:rFonts w:ascii="微软雅黑" w:hAnsi="微软雅黑" w:eastAsia="微软雅黑"/>
                <w:sz w:val="18"/>
              </w:rPr>
              <w:t>立即清洁并检查阀门密封性，必要时更换新阀门，确保设备处于良好工作状态。</w:t>
            </w:r>
          </w:p>
        </w:tc>
      </w:tr>
      <w:tr>
        <w:tc>
          <w:tcPr>
            <w:tcW w:type="dxa" w:w="1440"/>
          </w:tcPr>
          <w:p>
            <w:r/>
            <w:r>
              <w:rPr>
                <w:rFonts w:ascii="微软雅黑" w:hAnsi="微软雅黑" w:eastAsia="微软雅黑"/>
                <w:sz w:val="18"/>
              </w:rPr>
              <w:t>2</w:t>
            </w:r>
          </w:p>
        </w:tc>
        <w:tc>
          <w:tcPr>
            <w:tcW w:type="dxa" w:w="1440"/>
          </w:tcPr>
          <w:p>
            <w:r/>
            <w:r>
              <w:rPr>
                <w:rFonts w:ascii="微软雅黑" w:hAnsi="微软雅黑" w:eastAsia="微软雅黑"/>
                <w:sz w:val="18"/>
              </w:rPr>
              <w:t>杂物堆积</w:t>
            </w:r>
          </w:p>
        </w:tc>
        <w:tc>
          <w:tcPr>
            <w:tcW w:type="dxa" w:w="1440"/>
          </w:tcPr>
          <w:p>
            <w:r/>
            <w:r>
              <w:rPr>
                <w:rFonts w:ascii="微软雅黑" w:hAnsi="微软雅黑" w:eastAsia="微软雅黑"/>
                <w:sz w:val="18"/>
              </w:rPr>
              <w:t>通道</w:t>
            </w:r>
          </w:p>
        </w:tc>
        <w:tc>
          <w:tcPr>
            <w:tcW w:type="dxa" w:w="1440"/>
          </w:tcPr>
          <w:p>
            <w:r/>
            <w:r>
              <w:rPr>
                <w:rFonts w:ascii="微软雅黑" w:hAnsi="微软雅黑" w:eastAsia="微软雅黑"/>
                <w:sz w:val="18"/>
              </w:rPr>
              <w:t>低</w:t>
            </w:r>
          </w:p>
        </w:tc>
        <w:tc>
          <w:tcPr>
            <w:tcW w:type="dxa" w:w="1440"/>
          </w:tcPr>
          <w:p>
            <w:r/>
            <w:r>
              <w:rPr>
                <w:rFonts w:ascii="微软雅黑" w:hAnsi="微软雅黑" w:eastAsia="微软雅黑"/>
                <w:sz w:val="18"/>
              </w:rPr>
              <w:t>箱体内底部有油漆等杂物堆积，可能在紧急情况下阻碍操作或造成二次污染。</w:t>
            </w:r>
          </w:p>
        </w:tc>
        <w:tc>
          <w:tcPr>
            <w:tcW w:type="dxa" w:w="1440"/>
          </w:tcPr>
          <w:p>
            <w:r/>
            <w:r>
              <w:rPr>
                <w:rFonts w:ascii="微软雅黑" w:hAnsi="微软雅黑" w:eastAsia="微软雅黑"/>
                <w:sz w:val="18"/>
              </w:rPr>
              <w:t>清理箱体内部杂物，保持通道畅通，并定期维护以防止类似情况发生。</w:t>
            </w:r>
          </w:p>
        </w:tc>
      </w:tr>
    </w:tbl>
    <w:p>
      <w:pPr>
        <w:pStyle w:val="Heading2"/>
      </w:pPr>
      <w:r>
        <w:t>四、参考依据</w:t>
      </w:r>
    </w:p>
    <w:p>
      <w:r>
        <w:rPr>
          <w:rFonts w:ascii="微软雅黑" w:hAnsi="微软雅黑" w:eastAsia="微软雅黑"/>
          <w:sz w:val="21"/>
        </w:rPr>
        <w:t>• JYT0616—2023《高等学校实验室消防安全管理规范》.docx: 学校消防主管部门和实验室安全主管部门协同拟订实验室消防安全规划、年度安全计划、年度经费预算等。</w:t>
        <w:br/>
        <w:t>5.5.3  学校消防主管部门指导督促实验室消防基础设施设备的更换、维护、保养和检测；组织开展学校实验室消防安全检查，监督隐患整改。</w:t>
        <w:br/>
        <w:t>5.5.4  学校实验室安全主管部门负责学校各级各类实验室消防安全的日常监督和管理，建立</w:t>
      </w:r>
    </w:p>
    <w:p>
      <w:pPr>
        <w:pStyle w:val="Heading2"/>
      </w:pPr>
      <w:r>
        <w:t>五、AI 评价与整改建议</w:t>
      </w:r>
    </w:p>
    <w:p>
      <w:r>
        <w:rPr>
          <w:rFonts w:ascii="微软雅黑" w:hAnsi="微软雅黑" w:eastAsia="微软雅黑"/>
          <w:sz w:val="21"/>
        </w:rPr>
        <w:t>[LLM 调用失败: Request timed out.] 已降级返回。</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